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36363D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教务〔202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31</w:t>
      </w:r>
      <w:r>
        <w:rPr>
          <w:rFonts w:hint="eastAsia" w:ascii="宋体" w:hAnsi="宋体" w:eastAsia="宋体" w:cs="宋体"/>
          <w:sz w:val="24"/>
          <w:szCs w:val="2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center"/>
        <w:textAlignment w:val="auto"/>
        <w:rPr>
          <w:rStyle w:val="7"/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Style w:val="7"/>
          <w:rFonts w:hint="eastAsia" w:asciiTheme="majorEastAsia" w:hAnsiTheme="majorEastAsia" w:eastAsiaTheme="majorEastAsia" w:cstheme="majorEastAsia"/>
          <w:sz w:val="28"/>
          <w:szCs w:val="28"/>
        </w:rPr>
        <w:t>关</w:t>
      </w:r>
      <w:r>
        <w:rPr>
          <w:rStyle w:val="7"/>
          <w:rFonts w:hint="eastAsia" w:asciiTheme="majorEastAsia" w:hAnsiTheme="majorEastAsia" w:eastAsiaTheme="majorEastAsia" w:cstheme="majorEastAsia"/>
          <w:sz w:val="28"/>
          <w:szCs w:val="28"/>
        </w:rPr>
        <w:t>于开展202</w:t>
      </w:r>
      <w:r>
        <w:rPr>
          <w:rStyle w:val="7"/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</w:t>
      </w:r>
      <w:r>
        <w:rPr>
          <w:rStyle w:val="7"/>
          <w:rFonts w:hint="eastAsia" w:asciiTheme="majorEastAsia" w:hAnsiTheme="majorEastAsia" w:eastAsiaTheme="majorEastAsia" w:cstheme="majorEastAsia"/>
          <w:sz w:val="28"/>
          <w:szCs w:val="28"/>
        </w:rPr>
        <w:t>年度校级课程思政示范课程建设项目中期检查的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Style w:val="7"/>
          <w:rFonts w:hint="eastAsia" w:asciiTheme="majorEastAsia" w:hAnsiTheme="majorEastAsia" w:eastAsiaTheme="majorEastAsia" w:cstheme="majorEastAsia"/>
          <w:sz w:val="28"/>
          <w:szCs w:val="28"/>
        </w:rPr>
        <w:t>通</w:t>
      </w:r>
      <w:r>
        <w:rPr>
          <w:rStyle w:val="7"/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</w:t>
      </w:r>
      <w:r>
        <w:rPr>
          <w:rStyle w:val="7"/>
          <w:rFonts w:hint="eastAsia" w:asciiTheme="majorEastAsia" w:hAnsiTheme="majorEastAsia" w:eastAsiaTheme="majorEastAsia" w:cstheme="majorEastAsia"/>
          <w:sz w:val="28"/>
          <w:szCs w:val="28"/>
        </w:rPr>
        <w:t>知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各学院（部）、各单位：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为进一步贯彻落实教育部《高等学校课程思政建设指导纲要》（教高〔2020〕3号）以及关于印发《广西师范大学关于全面推进学校课程思政建设的实施方案》的通知（师政教学〔2020〕229 号）精神，根据《关于公布我校第三批课程思政示范课程建设项目名单的通知》（师政教学〔2021〕33号）《关于公布我校第四批课程思政示范课程建设项目名单的通知》（师政教学〔2021〕133号）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24"/>
        </w:rPr>
        <w:t>《关于公布我校第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sz w:val="24"/>
          <w:szCs w:val="24"/>
        </w:rPr>
        <w:t>批课程思政示范课程建设项目名单的通知》（师政教学〔202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〕1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3号）要求，学校拟于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sz w:val="24"/>
          <w:szCs w:val="24"/>
        </w:rPr>
        <w:t>旬对第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sz w:val="24"/>
          <w:szCs w:val="24"/>
        </w:rPr>
        <w:t>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sz w:val="24"/>
          <w:szCs w:val="24"/>
        </w:rPr>
        <w:t>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和第五批</w:t>
      </w:r>
      <w:r>
        <w:rPr>
          <w:rFonts w:hint="eastAsia" w:ascii="宋体" w:hAnsi="宋体" w:eastAsia="宋体" w:cs="宋体"/>
          <w:sz w:val="24"/>
          <w:szCs w:val="24"/>
        </w:rPr>
        <w:t>课程思政示范课程分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</w:rPr>
        <w:t>场进行中期检查工作。现将有关事项通知如下：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sz w:val="24"/>
          <w:szCs w:val="24"/>
        </w:rPr>
        <w:t>一、检查范围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</w:rPr>
        <w:t>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sz w:val="24"/>
          <w:szCs w:val="24"/>
        </w:rPr>
        <w:t>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和第五批</w:t>
      </w:r>
      <w:r>
        <w:rPr>
          <w:rFonts w:hint="eastAsia" w:ascii="宋体" w:hAnsi="宋体" w:eastAsia="宋体" w:cs="宋体"/>
          <w:sz w:val="24"/>
          <w:szCs w:val="24"/>
        </w:rPr>
        <w:t>课程示范课程建设项目，项目清单详见《课程思政示范课程建设项目中期检查项目一览表》（附件1）。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（注：第三批、第四批申请结项的项目不参加本次检查。）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Style w:val="7"/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sz w:val="24"/>
          <w:szCs w:val="24"/>
        </w:rPr>
        <w:t>二、检查内容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建设内容：项目是否按照《关于公布我校第三批课程思政示范课程建设项目名单的通知》（师政教学〔2021〕33号）《关于公布我校第四批课程思政示范课程建设项目名单的通知》（师政教学〔2021〕133号）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24"/>
        </w:rPr>
        <w:t>《关于公布我校第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sz w:val="24"/>
          <w:szCs w:val="24"/>
        </w:rPr>
        <w:t>批课程思政示范课程建设项目名单的通知》（师政教学〔202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〕1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3号）的建设目标、建设计划、建设要求、项目验收要求等开展工作。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项目进展：项目进度是否符合要求，阶段性预期建设效果是否达到。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经费使用：项目经费使用是否合理，是否严格按照经费预算和学校相关财务管理规定规范使用。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sz w:val="24"/>
          <w:szCs w:val="24"/>
        </w:rPr>
        <w:t>三、工作安排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项目自查：项目负责人对照项目建设要求和项目验收要求，根据《高等学校课程思政建设指导纲要》文件精神，结合项目实际进展，填写《课程思政示范课程建设项目中期检查表》（附件2），并提供相应的支撑材料，材料清单如下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一份标准的课程教学大纲。教学大纲须确立价值塑造、能力培养、知识传授三位一体的课程目标，并结合课程教学内容实际，明确思想政治教育融入点、教学方法和载体途径，以及如何评价课程育人成效。新教学大纲应在本课程原教学大纲基础上，根据学校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版课程教学大纲模板修订而成，提高课程思政内涵融入课堂教学的水平。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一套教学设计或课程教案。一套根据教学大纲编制的、能体现课程思政特点的、按照学校202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版课程教案模板撰写的包含每门课程每次课的课程教案或教学设计。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 xml:space="preserve">一份完整的课件。一份根据授课教案编制的整门课程的授课课件。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一套能体现改革成效的课程建设材料，包含：2份课程思政教学案例、课程思政主题的微课视频（第三批重点项目5个，第四批重点项目4个，第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sz w:val="24"/>
          <w:szCs w:val="24"/>
        </w:rPr>
        <w:t>批重点项目4个，一般项目均为1个）、1次示范公开课资料（文字及高清照片）、1次集体备课或教学研讨会、其他教学活动资料（文字及高清照片）等；学生修读本课程后的反馈及感悟；以及参加课程思政示范课程讲课大赛、参加课程思政示范课程培训等其他可体现改革成效的材料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第四批中的党史教育融合类项目要组织召开相关教学研讨活动，提供党史教育和课程思政融入的相关设计和说明。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学院审核：项目所在学院（部）和单位于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sz w:val="24"/>
          <w:szCs w:val="24"/>
        </w:rPr>
        <w:t>日前对该项目的进展情况进行审核，明确评审意见，并提出“通过”及“不通过”结论。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专家审查：教务处组织专家对项目进行评审，提出终审意见。评审会议现场，各课程思政示范课程建设项目进行5分钟PPT建设情况汇报，</w:t>
      </w:r>
      <w:r>
        <w:rPr>
          <w:rFonts w:hint="eastAsia" w:ascii="宋体" w:hAnsi="宋体" w:eastAsia="宋体" w:cs="宋体"/>
          <w:lang w:val="en-US" w:eastAsia="zh-CN"/>
        </w:rPr>
        <w:t>并回答专家提问，提问时间3分钟。</w:t>
      </w:r>
      <w:r>
        <w:rPr>
          <w:rFonts w:hint="eastAsia" w:ascii="宋体" w:hAnsi="宋体" w:eastAsia="宋体" w:cs="宋体"/>
          <w:sz w:val="24"/>
          <w:szCs w:val="24"/>
        </w:rPr>
        <w:t>与会评委根据会前验收材料审阅情况及现场汇报情况，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检查结项要求中规定的项目建设成果中的至少2项的完成情况和完成质量</w:t>
      </w:r>
      <w:r>
        <w:rPr>
          <w:rFonts w:hint="eastAsia" w:ascii="宋体" w:hAnsi="宋体" w:eastAsia="宋体" w:cs="宋体"/>
          <w:sz w:val="24"/>
          <w:szCs w:val="24"/>
        </w:rPr>
        <w:t>，对本组内各项在建课程进行综合评定。待全部课程汇报完毕后，确定每门课程的评审结果以及本组内课程的中期验收排序。会议现场汇总各组评委评议结果。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结果公示：教务处对专家评审结果进行汇总，并公示检查结果。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sz w:val="24"/>
          <w:szCs w:val="24"/>
        </w:rPr>
        <w:t>四、工作要求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各学院（部）和单位务必高度重视和认真组织本次中期检查工作，以中期检查为契机加强课程思政建设指导和监督，切实推进课程思政建设，要求教师强化育人意识，找准育人角度，提升育人能力，加快形成门门有思政、课课有特色、人人重育人的生动局面，构建全员全程全方位育人大格局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sz w:val="24"/>
          <w:szCs w:val="24"/>
        </w:rPr>
        <w:t>五、结果运用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中期检查结果分为“通过”和“不通过”。针对中期检查通过的项目，学校将根据专家评分从高到低排位，排名靠前的项目在各级课程思政示范课程推荐中优先推荐；针对中期检查不通过的项目，学校将责令限期整改，整改期为三个月，整改后仍不能通过的项目将予以撤项并停止后续经费支持，且对于不通过项目所在学院（部）和单位将酌情减少后续课程思政示范课程建设项目立项名额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sz w:val="24"/>
          <w:szCs w:val="24"/>
        </w:rPr>
        <w:t>六、申报要求及材料报送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各学院务必于202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28</w:t>
      </w:r>
      <w:r>
        <w:rPr>
          <w:rFonts w:hint="eastAsia" w:ascii="宋体" w:hAnsi="宋体" w:eastAsia="宋体" w:cs="宋体"/>
          <w:sz w:val="24"/>
          <w:szCs w:val="24"/>
        </w:rPr>
        <w:t>日（星期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sz w:val="24"/>
          <w:szCs w:val="24"/>
        </w:rPr>
        <w:t>）下午16:00前统一将材料（双面打印）将纸质版报送教务处大学生文化素质教育基地办公室（育才校区校办综合楼107室，雁山校区起文楼北楼555室），电子版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材料和汇报PPT</w:t>
      </w:r>
      <w:r>
        <w:rPr>
          <w:rFonts w:hint="eastAsia" w:ascii="宋体" w:hAnsi="宋体" w:eastAsia="宋体" w:cs="宋体"/>
          <w:sz w:val="24"/>
          <w:szCs w:val="24"/>
        </w:rPr>
        <w:t>发送到邮箱：gxnukcsz@126.com，以便于学校组织专家评审，逾期不再受理。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需报送材料如下：1.《广西师范大学课程思政示范课程建设项目中期检查表》（见附件2，一式6份）及相关支撑材料（一式1份）。2.《广西师范大学课程思政示范课程建设项目中期检查支撑材料汇总表》（见附件3，一式1份）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（注：微课视频发送电子版，并需截图配上简要文字说明作为支撑材料。课件和教案发送电子版，并打印1节有代表性的章节课件和教案作为支撑材料。）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sz w:val="24"/>
          <w:szCs w:val="24"/>
        </w:rPr>
        <w:t>七、其他事宜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中期检查审查相关成果根据相应类别进行审查。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由于学校2022年全面修订课程教学大纲和教案，因此检查材料要求对立项文件相关要求做适当调整。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未尽事宜，请与我处大学生文化素质教育基地联系。联系人：李敏、王海艳，联系电话：2677135、3698175。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广西师范大学课程思政示范课程建设项目中期检查项目一览表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广西师范大学课程思政示范课程建设项目中期检查表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广西师范大学课程思政示范课程建设项目中期检查支撑材料汇总表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广西师范大学课程思政示范课程建设项目中期检查审要点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广西师范大学教务处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2023年4月13日  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360" w:lineRule="auto"/>
        <w:ind w:left="0" w:right="0"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47B0F1"/>
    <w:multiLevelType w:val="singleLevel"/>
    <w:tmpl w:val="AC47B0F1"/>
    <w:lvl w:ilvl="0" w:tentative="0">
      <w:start w:val="1"/>
      <w:numFmt w:val="decimal"/>
      <w:pStyle w:val="14"/>
      <w:suff w:val="space"/>
      <w:lvlText w:val="%1."/>
      <w:lvlJc w:val="left"/>
    </w:lvl>
  </w:abstractNum>
  <w:abstractNum w:abstractNumId="1">
    <w:nsid w:val="034EF1DA"/>
    <w:multiLevelType w:val="multilevel"/>
    <w:tmpl w:val="034EF1DA"/>
    <w:lvl w:ilvl="0" w:tentative="0">
      <w:start w:val="1"/>
      <w:numFmt w:val="decimal"/>
      <w:lvlText w:val="%1."/>
      <w:lvlJc w:val="left"/>
      <w:pPr>
        <w:ind w:left="568" w:hanging="322"/>
        <w:jc w:val="left"/>
      </w:pPr>
      <w:rPr>
        <w:rFonts w:hint="default" w:ascii="黑体" w:hAnsi="黑体" w:eastAsia="黑体" w:cs="黑体"/>
        <w:b/>
        <w:bCs/>
        <w:spacing w:val="1"/>
        <w:w w:val="98"/>
        <w:sz w:val="30"/>
        <w:szCs w:val="30"/>
        <w:lang w:val="zh-CN" w:eastAsia="zh-CN" w:bidi="zh-CN"/>
      </w:rPr>
    </w:lvl>
    <w:lvl w:ilvl="1" w:tentative="0">
      <w:start w:val="1"/>
      <w:numFmt w:val="decimal"/>
      <w:pStyle w:val="15"/>
      <w:lvlText w:val="%1.%2"/>
      <w:lvlJc w:val="left"/>
      <w:pPr>
        <w:ind w:left="851" w:hanging="605"/>
        <w:jc w:val="left"/>
      </w:pPr>
      <w:rPr>
        <w:rFonts w:hint="default"/>
        <w:b/>
        <w:bCs/>
        <w:spacing w:val="0"/>
        <w:w w:val="99"/>
        <w:lang w:val="zh-CN" w:eastAsia="zh-CN" w:bidi="zh-CN"/>
      </w:rPr>
    </w:lvl>
    <w:lvl w:ilvl="2" w:tentative="0">
      <w:start w:val="1"/>
      <w:numFmt w:val="decimal"/>
      <w:lvlText w:val="（%3）"/>
      <w:lvlJc w:val="left"/>
      <w:pPr>
        <w:ind w:left="1327" w:hanging="605"/>
        <w:jc w:val="left"/>
      </w:pPr>
      <w:rPr>
        <w:rFonts w:hint="default" w:ascii="宋体" w:hAnsi="宋体" w:eastAsia="宋体" w:cs="宋体"/>
        <w:w w:val="100"/>
        <w:sz w:val="22"/>
        <w:szCs w:val="22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880" w:hanging="60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320" w:hanging="60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2629" w:hanging="60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3939" w:hanging="60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249" w:hanging="60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559" w:hanging="605"/>
      </w:pPr>
      <w:rPr>
        <w:rFonts w:hint="default"/>
        <w:lang w:val="zh-CN" w:eastAsia="zh-CN" w:bidi="zh-CN"/>
      </w:rPr>
    </w:lvl>
  </w:abstractNum>
  <w:abstractNum w:abstractNumId="2">
    <w:nsid w:val="6A2BB6EF"/>
    <w:multiLevelType w:val="singleLevel"/>
    <w:tmpl w:val="6A2BB6EF"/>
    <w:lvl w:ilvl="0" w:tentative="0">
      <w:start w:val="1"/>
      <w:numFmt w:val="decimal"/>
      <w:pStyle w:val="10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000000"/>
    <w:rsid w:val="00EB5631"/>
    <w:rsid w:val="022A6766"/>
    <w:rsid w:val="07786E3E"/>
    <w:rsid w:val="080E5916"/>
    <w:rsid w:val="0A912C08"/>
    <w:rsid w:val="0BFD0AC0"/>
    <w:rsid w:val="0F296723"/>
    <w:rsid w:val="0FA75E50"/>
    <w:rsid w:val="12931EC9"/>
    <w:rsid w:val="137E170D"/>
    <w:rsid w:val="15EC2259"/>
    <w:rsid w:val="183326C1"/>
    <w:rsid w:val="24132625"/>
    <w:rsid w:val="2414666A"/>
    <w:rsid w:val="251F0D2D"/>
    <w:rsid w:val="36DF5796"/>
    <w:rsid w:val="44A661DB"/>
    <w:rsid w:val="453F3756"/>
    <w:rsid w:val="45DD553B"/>
    <w:rsid w:val="4B680DAB"/>
    <w:rsid w:val="4D466E92"/>
    <w:rsid w:val="545A3249"/>
    <w:rsid w:val="55F81F79"/>
    <w:rsid w:val="574460B2"/>
    <w:rsid w:val="582033BC"/>
    <w:rsid w:val="60374261"/>
    <w:rsid w:val="60A666EC"/>
    <w:rsid w:val="654E778C"/>
    <w:rsid w:val="65610E24"/>
    <w:rsid w:val="65FA7647"/>
    <w:rsid w:val="67CC2F70"/>
    <w:rsid w:val="68F26818"/>
    <w:rsid w:val="6E3631E6"/>
    <w:rsid w:val="705C7B2F"/>
    <w:rsid w:val="738B58EE"/>
    <w:rsid w:val="7A181569"/>
    <w:rsid w:val="7AD6183B"/>
    <w:rsid w:val="7C3E7E36"/>
    <w:rsid w:val="7D93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360" w:lineRule="auto"/>
      <w:jc w:val="center"/>
      <w:outlineLvl w:val="0"/>
    </w:pPr>
    <w:rPr>
      <w:rFonts w:ascii="黑体" w:hAnsi="黑体" w:eastAsia="黑体" w:cs="黑体"/>
      <w:b/>
      <w:bCs/>
      <w:sz w:val="48"/>
      <w:szCs w:val="44"/>
      <w:lang w:val="zh-CN" w:bidi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360" w:lineRule="auto"/>
      <w:ind w:firstLine="400" w:firstLineChars="200"/>
    </w:pPr>
    <w:rPr>
      <w:rFonts w:ascii="宋体" w:hAnsi="宋体" w:eastAsia="宋体" w:cs="宋体"/>
      <w:sz w:val="24"/>
      <w:szCs w:val="24"/>
      <w:lang w:val="zh-CN" w:bidi="zh-CN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专业标题"/>
    <w:basedOn w:val="1"/>
    <w:qFormat/>
    <w:uiPriority w:val="0"/>
    <w:pPr>
      <w:spacing w:line="360" w:lineRule="auto"/>
      <w:jc w:val="center"/>
      <w:outlineLvl w:val="0"/>
    </w:pPr>
    <w:rPr>
      <w:rFonts w:hint="eastAsia" w:ascii="黑体" w:hAnsi="黑体" w:eastAsia="黑体" w:cs="黑体"/>
      <w:b/>
      <w:bCs/>
      <w:sz w:val="36"/>
      <w:szCs w:val="32"/>
      <w:lang w:val="en-US" w:bidi="zh-CN"/>
    </w:rPr>
  </w:style>
  <w:style w:type="paragraph" w:customStyle="1" w:styleId="9">
    <w:name w:val="一级标题"/>
    <w:basedOn w:val="1"/>
    <w:next w:val="1"/>
    <w:qFormat/>
    <w:uiPriority w:val="0"/>
    <w:pPr>
      <w:spacing w:line="360" w:lineRule="auto"/>
      <w:jc w:val="center"/>
      <w:outlineLvl w:val="0"/>
    </w:pPr>
    <w:rPr>
      <w:rFonts w:ascii="黑体" w:hAnsi="黑体" w:eastAsia="黑体" w:cs="黑体"/>
      <w:b/>
      <w:bCs/>
      <w:sz w:val="52"/>
      <w:szCs w:val="44"/>
      <w:lang w:val="zh-CN" w:bidi="zh-CN"/>
    </w:rPr>
  </w:style>
  <w:style w:type="paragraph" w:customStyle="1" w:styleId="10">
    <w:name w:val="二级标题"/>
    <w:basedOn w:val="1"/>
    <w:qFormat/>
    <w:uiPriority w:val="0"/>
    <w:pPr>
      <w:numPr>
        <w:ilvl w:val="0"/>
        <w:numId w:val="1"/>
      </w:numPr>
      <w:spacing w:line="360" w:lineRule="auto"/>
      <w:ind w:firstLine="400" w:firstLineChars="200"/>
    </w:pPr>
    <w:rPr>
      <w:rFonts w:hint="eastAsia" w:ascii="宋体" w:hAnsi="宋体" w:eastAsia="宋体" w:cs="宋体"/>
      <w:b/>
      <w:bCs/>
      <w:sz w:val="48"/>
      <w:szCs w:val="36"/>
      <w:lang w:val="zh-CN" w:bidi="zh-CN"/>
    </w:rPr>
  </w:style>
  <w:style w:type="paragraph" w:customStyle="1" w:styleId="11">
    <w:name w:val="四级标题"/>
    <w:basedOn w:val="1"/>
    <w:next w:val="1"/>
    <w:link w:val="12"/>
    <w:qFormat/>
    <w:uiPriority w:val="0"/>
    <w:pPr>
      <w:tabs>
        <w:tab w:val="left" w:pos="853"/>
      </w:tabs>
      <w:spacing w:line="360" w:lineRule="auto"/>
      <w:ind w:leftChars="0" w:firstLine="964" w:firstLineChars="200"/>
      <w:outlineLvl w:val="8"/>
    </w:pPr>
    <w:rPr>
      <w:rFonts w:hint="eastAsia" w:ascii="宋体" w:hAnsi="宋体" w:eastAsia="宋体" w:cs="宋体"/>
      <w:b/>
      <w:bCs/>
      <w:sz w:val="36"/>
      <w:szCs w:val="28"/>
      <w:u w:val="none" w:color="000000"/>
      <w:lang w:val="en-US" w:bidi="zh-CN"/>
    </w:rPr>
  </w:style>
  <w:style w:type="character" w:customStyle="1" w:styleId="12">
    <w:name w:val="四级标题 Char"/>
    <w:link w:val="11"/>
    <w:qFormat/>
    <w:uiPriority w:val="0"/>
    <w:rPr>
      <w:rFonts w:hint="eastAsia" w:ascii="宋体" w:hAnsi="宋体" w:eastAsia="宋体" w:cs="宋体"/>
      <w:b/>
      <w:bCs/>
      <w:sz w:val="36"/>
      <w:szCs w:val="28"/>
      <w:u w:val="none" w:color="000000"/>
      <w:lang w:val="en-US" w:bidi="zh-CN"/>
    </w:rPr>
  </w:style>
  <w:style w:type="paragraph" w:customStyle="1" w:styleId="13">
    <w:name w:val="标题一"/>
    <w:basedOn w:val="1"/>
    <w:next w:val="1"/>
    <w:qFormat/>
    <w:uiPriority w:val="0"/>
    <w:pPr>
      <w:spacing w:before="12" w:line="360" w:lineRule="auto"/>
      <w:ind w:right="0"/>
      <w:jc w:val="center"/>
      <w:outlineLvl w:val="1"/>
    </w:pPr>
    <w:rPr>
      <w:rFonts w:ascii="黑体" w:hAnsi="黑体" w:eastAsia="黑体" w:cs="黑体"/>
      <w:b/>
      <w:bCs/>
      <w:sz w:val="44"/>
      <w:szCs w:val="44"/>
      <w:lang w:val="zh-CN" w:bidi="zh-CN"/>
    </w:rPr>
  </w:style>
  <w:style w:type="paragraph" w:customStyle="1" w:styleId="14">
    <w:name w:val="标题二"/>
    <w:basedOn w:val="1"/>
    <w:qFormat/>
    <w:uiPriority w:val="0"/>
    <w:pPr>
      <w:numPr>
        <w:ilvl w:val="0"/>
        <w:numId w:val="2"/>
      </w:numPr>
      <w:spacing w:line="360" w:lineRule="auto"/>
      <w:ind w:firstLine="400" w:firstLineChars="200"/>
    </w:pPr>
    <w:rPr>
      <w:rFonts w:hint="eastAsia" w:ascii="宋体" w:hAnsi="宋体" w:eastAsia="宋体" w:cs="宋体"/>
      <w:b/>
      <w:bCs/>
      <w:sz w:val="36"/>
      <w:szCs w:val="36"/>
      <w:lang w:val="zh-CN" w:bidi="zh-CN"/>
    </w:rPr>
  </w:style>
  <w:style w:type="paragraph" w:customStyle="1" w:styleId="15">
    <w:name w:val="标题三"/>
    <w:basedOn w:val="1"/>
    <w:next w:val="1"/>
    <w:qFormat/>
    <w:uiPriority w:val="0"/>
    <w:pPr>
      <w:numPr>
        <w:ilvl w:val="1"/>
        <w:numId w:val="3"/>
      </w:numPr>
      <w:tabs>
        <w:tab w:val="left" w:pos="739"/>
      </w:tabs>
      <w:spacing w:line="360" w:lineRule="auto"/>
      <w:ind w:left="0" w:firstLine="400" w:firstLineChars="200"/>
      <w:outlineLvl w:val="7"/>
    </w:pPr>
    <w:rPr>
      <w:rFonts w:hint="eastAsia" w:ascii="宋体" w:hAnsi="宋体" w:eastAsia="宋体" w:cs="黑体"/>
      <w:b/>
      <w:bCs/>
      <w:sz w:val="30"/>
      <w:szCs w:val="28"/>
      <w:lang w:val="zh-CN" w:bidi="zh-CN"/>
    </w:rPr>
  </w:style>
  <w:style w:type="paragraph" w:customStyle="1" w:styleId="16">
    <w:name w:val="标题四"/>
    <w:basedOn w:val="1"/>
    <w:next w:val="1"/>
    <w:qFormat/>
    <w:uiPriority w:val="0"/>
    <w:pPr>
      <w:tabs>
        <w:tab w:val="left" w:pos="853"/>
      </w:tabs>
      <w:spacing w:line="360" w:lineRule="auto"/>
      <w:ind w:leftChars="0" w:firstLine="883" w:firstLineChars="200"/>
      <w:outlineLvl w:val="8"/>
    </w:pPr>
    <w:rPr>
      <w:rFonts w:hint="eastAsia" w:ascii="宋体" w:hAnsi="宋体" w:eastAsia="宋体" w:cs="宋体"/>
      <w:b/>
      <w:bCs/>
      <w:sz w:val="28"/>
      <w:szCs w:val="28"/>
      <w:u w:val="none" w:color="000000"/>
      <w:lang w:val="en-US" w:bidi="zh-CN"/>
    </w:rPr>
  </w:style>
  <w:style w:type="paragraph" w:customStyle="1" w:styleId="17">
    <w:name w:val="下专业标题"/>
    <w:basedOn w:val="1"/>
    <w:qFormat/>
    <w:uiPriority w:val="0"/>
    <w:pPr>
      <w:spacing w:line="360" w:lineRule="auto"/>
      <w:ind w:right="0"/>
      <w:jc w:val="center"/>
    </w:pPr>
    <w:rPr>
      <w:rFonts w:hint="eastAsia" w:ascii="黑体" w:hAnsi="黑体" w:eastAsia="黑体" w:cs="宋体"/>
      <w:b/>
      <w:sz w:val="3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2196</Words>
  <Characters>2302</Characters>
  <Lines>0</Lines>
  <Paragraphs>0</Paragraphs>
  <TotalTime>1</TotalTime>
  <ScaleCrop>false</ScaleCrop>
  <LinksUpToDate>false</LinksUpToDate>
  <CharactersWithSpaces>2382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2022-11-10T00:42:00Z</dcterms:created>
  <dc:creator>Hp</dc:creator>
  <cp:lastModifiedBy>HUAWEI</cp:lastModifiedBy>
  <dcterms:modified xsi:type="dcterms:W3CDTF">2023-04-13T09:10:27Z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C445EBB1A1C74B71AB17E40BBB3B9D38</vt:lpwstr>
  </property>
</Properties>
</file>