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2DEDC2" w14:textId="77777777" w:rsidR="00D15483" w:rsidRDefault="006E0AFE">
      <w:pPr>
        <w:kinsoku/>
        <w:autoSpaceDN/>
        <w:adjustRightInd/>
        <w:snapToGrid/>
        <w:jc w:val="left"/>
        <w:textAlignment w:val="auto"/>
        <w:rPr>
          <w:rFonts w:ascii="黑体" w:eastAsia="黑体" w:hAnsi="黑体" w:cs="黑体" w:hint="eastAsia"/>
          <w:color w:val="auto"/>
          <w:kern w:val="2"/>
          <w:szCs w:val="32"/>
          <w:lang w:eastAsia="zh-CN"/>
        </w:rPr>
      </w:pPr>
      <w:r>
        <w:rPr>
          <w:rFonts w:ascii="黑体" w:eastAsia="黑体" w:hAnsi="黑体" w:cs="黑体" w:hint="eastAsia"/>
          <w:color w:val="auto"/>
          <w:kern w:val="2"/>
          <w:szCs w:val="32"/>
          <w:lang w:eastAsia="zh-CN"/>
        </w:rPr>
        <w:t>附件3</w:t>
      </w:r>
    </w:p>
    <w:p w14:paraId="7D06EA57" w14:textId="77777777" w:rsidR="00D15483" w:rsidRDefault="00D15483">
      <w:pPr>
        <w:kinsoku/>
        <w:autoSpaceDN/>
        <w:adjustRightInd/>
        <w:snapToGrid/>
        <w:jc w:val="left"/>
        <w:textAlignment w:val="auto"/>
        <w:rPr>
          <w:rFonts w:ascii="Times New Roman" w:eastAsia="仿宋_GB2312" w:hAnsi="Times New Roman" w:cs="仿宋_GB2312"/>
          <w:color w:val="auto"/>
          <w:kern w:val="2"/>
          <w:szCs w:val="32"/>
          <w:lang w:eastAsia="zh-CN"/>
        </w:rPr>
      </w:pPr>
    </w:p>
    <w:p w14:paraId="0D58F4A9" w14:textId="77777777" w:rsidR="00D15483" w:rsidRDefault="006E0AFE">
      <w:pPr>
        <w:widowControl w:val="0"/>
        <w:kinsoku/>
        <w:autoSpaceDE/>
        <w:autoSpaceDN/>
        <w:adjustRightInd/>
        <w:snapToGrid/>
        <w:ind w:left="360" w:hanging="360"/>
        <w:jc w:val="center"/>
        <w:textAlignment w:val="auto"/>
        <w:rPr>
          <w:rFonts w:ascii="方正小标宋简体" w:eastAsia="方正小标宋简体" w:hAnsi="方正小标宋简体" w:cs="方正小标宋简体" w:hint="eastAsia"/>
          <w:kern w:val="2"/>
          <w:sz w:val="44"/>
          <w:szCs w:val="44"/>
          <w:lang w:eastAsia="zh-CN"/>
        </w:rPr>
      </w:pPr>
      <w:r>
        <w:rPr>
          <w:rFonts w:ascii="方正小标宋简体" w:eastAsia="方正小标宋简体" w:hAnsi="方正小标宋简体" w:cs="方正小标宋简体" w:hint="eastAsia"/>
          <w:kern w:val="2"/>
          <w:sz w:val="44"/>
          <w:szCs w:val="44"/>
          <w:lang w:eastAsia="zh-CN"/>
        </w:rPr>
        <w:t>全国医保影像AI识图大赛组委会办公室关于</w:t>
      </w:r>
    </w:p>
    <w:p w14:paraId="28AEAC39" w14:textId="63193B88" w:rsidR="00D15483" w:rsidRDefault="006E0AFE">
      <w:pPr>
        <w:widowControl w:val="0"/>
        <w:kinsoku/>
        <w:autoSpaceDE/>
        <w:autoSpaceDN/>
        <w:adjustRightInd/>
        <w:snapToGrid/>
        <w:ind w:left="360" w:hanging="360"/>
        <w:jc w:val="center"/>
        <w:textAlignment w:val="auto"/>
        <w:rPr>
          <w:rFonts w:ascii="方正小标宋简体" w:eastAsia="方正小标宋简体" w:hAnsi="方正小标宋简体" w:cs="方正小标宋简体" w:hint="eastAsia"/>
          <w:kern w:val="2"/>
          <w:sz w:val="44"/>
          <w:szCs w:val="44"/>
          <w:lang w:eastAsia="zh-CN"/>
        </w:rPr>
      </w:pPr>
      <w:r>
        <w:rPr>
          <w:rFonts w:ascii="方正小标宋简体" w:eastAsia="方正小标宋简体" w:hAnsi="方正小标宋简体" w:cs="方正小标宋简体" w:hint="eastAsia"/>
          <w:kern w:val="2"/>
          <w:sz w:val="44"/>
          <w:szCs w:val="44"/>
          <w:lang w:eastAsia="zh-CN"/>
        </w:rPr>
        <w:t>参赛队伍咨询热点问题的答复</w:t>
      </w:r>
    </w:p>
    <w:p w14:paraId="5011BC5B" w14:textId="77777777" w:rsidR="00D15483" w:rsidRDefault="00D15483">
      <w:pPr>
        <w:widowControl w:val="0"/>
        <w:kinsoku/>
        <w:autoSpaceDE/>
        <w:autoSpaceDN/>
        <w:adjustRightInd/>
        <w:snapToGrid/>
        <w:ind w:left="360" w:hanging="360"/>
        <w:textAlignment w:val="auto"/>
        <w:rPr>
          <w:rFonts w:ascii="仿宋_GB2312" w:eastAsia="仿宋_GB2312" w:hAnsi="仿宋_GB2312" w:cs="仿宋_GB2312" w:hint="eastAsia"/>
          <w:kern w:val="2"/>
          <w:szCs w:val="32"/>
          <w:lang w:eastAsia="zh-CN"/>
        </w:rPr>
      </w:pPr>
    </w:p>
    <w:p w14:paraId="5373CAFF" w14:textId="77777777" w:rsidR="00D15483" w:rsidRDefault="006E0AFE">
      <w:pPr>
        <w:widowControl w:val="0"/>
        <w:kinsoku/>
        <w:autoSpaceDE/>
        <w:autoSpaceDN/>
        <w:adjustRightInd/>
        <w:snapToGrid/>
        <w:ind w:leftChars="245" w:left="784" w:firstLineChars="29" w:firstLine="93"/>
        <w:textAlignment w:val="auto"/>
        <w:rPr>
          <w:rFonts w:ascii="黑体" w:eastAsia="黑体" w:hAnsi="黑体" w:cs="黑体" w:hint="eastAsia"/>
          <w:szCs w:val="32"/>
          <w:lang w:eastAsia="zh-CN"/>
        </w:rPr>
      </w:pPr>
      <w:r>
        <w:rPr>
          <w:rFonts w:ascii="黑体" w:eastAsia="黑体" w:hAnsi="黑体" w:cs="黑体" w:hint="eastAsia"/>
          <w:kern w:val="2"/>
          <w:szCs w:val="32"/>
          <w:lang w:eastAsia="zh-CN"/>
        </w:rPr>
        <w:t>一、</w:t>
      </w:r>
      <w:r>
        <w:rPr>
          <w:rFonts w:ascii="黑体" w:eastAsia="黑体" w:hAnsi="黑体" w:cs="黑体" w:hint="eastAsia"/>
          <w:szCs w:val="32"/>
          <w:lang w:eastAsia="zh-CN"/>
        </w:rPr>
        <w:t>各项评分指标（如准确率、效率）的权重与具体打</w:t>
      </w:r>
    </w:p>
    <w:p w14:paraId="1C3F6D9C" w14:textId="77777777" w:rsidR="00D15483" w:rsidRDefault="006E0AFE">
      <w:pPr>
        <w:widowControl w:val="0"/>
        <w:kinsoku/>
        <w:autoSpaceDE/>
        <w:autoSpaceDN/>
        <w:adjustRightInd/>
        <w:snapToGrid/>
        <w:textAlignment w:val="auto"/>
        <w:rPr>
          <w:rFonts w:ascii="黑体" w:eastAsia="黑体" w:hAnsi="黑体" w:cs="黑体" w:hint="eastAsia"/>
          <w:szCs w:val="32"/>
          <w:lang w:eastAsia="zh-CN"/>
        </w:rPr>
      </w:pPr>
      <w:r>
        <w:rPr>
          <w:rFonts w:ascii="黑体" w:eastAsia="黑体" w:hAnsi="黑体" w:cs="黑体" w:hint="eastAsia"/>
          <w:szCs w:val="32"/>
          <w:lang w:eastAsia="zh-CN"/>
        </w:rPr>
        <w:t>分标准是否会在评审前清晰公示？</w:t>
      </w:r>
    </w:p>
    <w:p w14:paraId="485CAC66" w14:textId="77777777" w:rsidR="00D15483" w:rsidRDefault="006E0AFE">
      <w:pPr>
        <w:widowControl w:val="0"/>
        <w:kinsoku/>
        <w:autoSpaceDE/>
        <w:autoSpaceDN/>
        <w:adjustRightInd/>
        <w:snapToGrid/>
        <w:ind w:firstLineChars="200" w:firstLine="640"/>
        <w:textAlignment w:val="auto"/>
        <w:rPr>
          <w:rFonts w:ascii="仿宋_GB2312" w:eastAsia="仿宋_GB2312" w:hAnsi="仿宋_GB2312" w:cs="仿宋_GB2312" w:hint="eastAsia"/>
          <w:szCs w:val="32"/>
          <w:lang w:eastAsia="zh-CN"/>
        </w:rPr>
      </w:pPr>
      <w:r>
        <w:rPr>
          <w:rFonts w:ascii="仿宋_GB2312" w:eastAsia="仿宋_GB2312" w:hAnsi="仿宋_GB2312" w:cs="仿宋_GB2312" w:hint="eastAsia"/>
          <w:b/>
          <w:bCs/>
          <w:szCs w:val="32"/>
          <w:lang w:eastAsia="zh-CN"/>
        </w:rPr>
        <w:t>答：</w:t>
      </w:r>
      <w:r>
        <w:rPr>
          <w:rFonts w:ascii="仿宋_GB2312" w:eastAsia="仿宋_GB2312" w:hAnsi="仿宋_GB2312" w:cs="仿宋_GB2312" w:hint="eastAsia"/>
          <w:szCs w:val="32"/>
          <w:lang w:eastAsia="zh-CN"/>
        </w:rPr>
        <w:t>组委会</w:t>
      </w:r>
      <w:r>
        <w:rPr>
          <w:rFonts w:ascii="仿宋_GB2312" w:eastAsia="仿宋_GB2312" w:hAnsi="仿宋_GB2312" w:cs="仿宋_GB2312"/>
          <w:szCs w:val="32"/>
          <w:lang w:eastAsia="zh-CN"/>
        </w:rPr>
        <w:t>在比赛开始前向参赛队伍公开完整的评分细则</w:t>
      </w:r>
      <w:r>
        <w:rPr>
          <w:rFonts w:ascii="仿宋_GB2312" w:eastAsia="仿宋_GB2312" w:hAnsi="仿宋_GB2312" w:cs="仿宋_GB2312" w:hint="eastAsia"/>
          <w:szCs w:val="32"/>
          <w:lang w:eastAsia="zh-CN"/>
        </w:rPr>
        <w:t>。</w:t>
      </w:r>
    </w:p>
    <w:p w14:paraId="264E9DC6" w14:textId="77777777" w:rsidR="00D15483" w:rsidRDefault="006E0AFE">
      <w:pPr>
        <w:widowControl w:val="0"/>
        <w:kinsoku/>
        <w:autoSpaceDE/>
        <w:autoSpaceDN/>
        <w:adjustRightInd/>
        <w:snapToGrid/>
        <w:ind w:leftChars="245" w:left="784" w:firstLineChars="29" w:firstLine="93"/>
        <w:textAlignment w:val="auto"/>
        <w:rPr>
          <w:rFonts w:ascii="黑体" w:eastAsia="黑体" w:hAnsi="黑体" w:cs="黑体" w:hint="eastAsia"/>
          <w:kern w:val="2"/>
          <w:szCs w:val="32"/>
          <w:lang w:eastAsia="zh-CN"/>
        </w:rPr>
      </w:pPr>
      <w:r>
        <w:rPr>
          <w:rFonts w:ascii="黑体" w:eastAsia="黑体" w:hAnsi="黑体" w:cs="黑体" w:hint="eastAsia"/>
          <w:kern w:val="2"/>
          <w:szCs w:val="32"/>
          <w:lang w:eastAsia="zh-CN"/>
        </w:rPr>
        <w:t>二、“创新性”等主观指标是否有具体的评分维度和分级</w:t>
      </w:r>
    </w:p>
    <w:p w14:paraId="31076ACE" w14:textId="77777777" w:rsidR="00D15483" w:rsidRDefault="006E0AFE">
      <w:pPr>
        <w:widowControl w:val="0"/>
        <w:kinsoku/>
        <w:autoSpaceDE/>
        <w:autoSpaceDN/>
        <w:adjustRightInd/>
        <w:snapToGrid/>
        <w:textAlignment w:val="auto"/>
        <w:rPr>
          <w:rFonts w:ascii="黑体" w:eastAsia="黑体" w:hAnsi="黑体" w:cs="黑体" w:hint="eastAsia"/>
          <w:kern w:val="2"/>
          <w:szCs w:val="32"/>
          <w:lang w:eastAsia="zh-CN"/>
        </w:rPr>
      </w:pPr>
      <w:r>
        <w:rPr>
          <w:rFonts w:ascii="黑体" w:eastAsia="黑体" w:hAnsi="黑体" w:cs="黑体" w:hint="eastAsia"/>
          <w:kern w:val="2"/>
          <w:szCs w:val="32"/>
          <w:lang w:eastAsia="zh-CN"/>
        </w:rPr>
        <w:t>标准，以避免评委个人印象主导？</w:t>
      </w:r>
    </w:p>
    <w:p w14:paraId="04992B52" w14:textId="77777777" w:rsidR="00D15483" w:rsidRDefault="006E0AFE">
      <w:pPr>
        <w:widowControl w:val="0"/>
        <w:kinsoku/>
        <w:autoSpaceDE/>
        <w:autoSpaceDN/>
        <w:adjustRightInd/>
        <w:snapToGrid/>
        <w:ind w:firstLineChars="200" w:firstLine="640"/>
        <w:textAlignment w:val="auto"/>
        <w:rPr>
          <w:rFonts w:ascii="仿宋_GB2312" w:eastAsia="仿宋_GB2312" w:hAnsi="仿宋_GB2312" w:cs="仿宋_GB2312" w:hint="eastAsia"/>
          <w:szCs w:val="32"/>
          <w:lang w:eastAsia="zh-CN"/>
        </w:rPr>
      </w:pPr>
      <w:r>
        <w:rPr>
          <w:rFonts w:ascii="仿宋_GB2312" w:eastAsia="仿宋_GB2312" w:hAnsi="仿宋_GB2312" w:cs="仿宋_GB2312" w:hint="eastAsia"/>
          <w:b/>
          <w:bCs/>
          <w:szCs w:val="32"/>
          <w:lang w:eastAsia="zh-CN"/>
        </w:rPr>
        <w:t>答：</w:t>
      </w:r>
      <w:r>
        <w:rPr>
          <w:rFonts w:ascii="仿宋_GB2312" w:eastAsia="仿宋_GB2312" w:hAnsi="仿宋_GB2312" w:cs="仿宋_GB2312" w:hint="eastAsia"/>
          <w:szCs w:val="32"/>
          <w:lang w:eastAsia="zh-CN"/>
        </w:rPr>
        <w:t>组委会为所有定性（主观）评分指标设置具体的评分维度及分级标准供评审专家参照。</w:t>
      </w:r>
    </w:p>
    <w:p w14:paraId="031F8B09" w14:textId="77777777" w:rsidR="00D15483" w:rsidRDefault="006E0AFE">
      <w:pPr>
        <w:widowControl w:val="0"/>
        <w:kinsoku/>
        <w:autoSpaceDE/>
        <w:autoSpaceDN/>
        <w:adjustRightInd/>
        <w:snapToGrid/>
        <w:ind w:leftChars="245" w:left="784" w:firstLineChars="29" w:firstLine="93"/>
        <w:textAlignment w:val="auto"/>
        <w:rPr>
          <w:rFonts w:ascii="黑体" w:eastAsia="黑体" w:hAnsi="黑体" w:cs="黑体" w:hint="eastAsia"/>
          <w:kern w:val="2"/>
          <w:szCs w:val="32"/>
          <w:lang w:eastAsia="zh-CN"/>
        </w:rPr>
      </w:pPr>
      <w:r>
        <w:rPr>
          <w:rFonts w:ascii="黑体" w:eastAsia="黑体" w:hAnsi="黑体" w:cs="黑体" w:hint="eastAsia"/>
          <w:kern w:val="2"/>
          <w:szCs w:val="32"/>
          <w:lang w:eastAsia="zh-CN"/>
        </w:rPr>
        <w:t>三、评审过程中评委能否获取队伍身份信息，参赛代码</w:t>
      </w:r>
    </w:p>
    <w:p w14:paraId="6C258C1E" w14:textId="77777777" w:rsidR="00D15483" w:rsidRDefault="006E0AFE">
      <w:pPr>
        <w:widowControl w:val="0"/>
        <w:kinsoku/>
        <w:autoSpaceDE/>
        <w:autoSpaceDN/>
        <w:adjustRightInd/>
        <w:snapToGrid/>
        <w:textAlignment w:val="auto"/>
        <w:rPr>
          <w:rFonts w:ascii="黑体" w:eastAsia="黑体" w:hAnsi="黑体" w:cs="黑体" w:hint="eastAsia"/>
          <w:kern w:val="2"/>
          <w:szCs w:val="32"/>
          <w:lang w:eastAsia="zh-CN"/>
        </w:rPr>
      </w:pPr>
      <w:r>
        <w:rPr>
          <w:rFonts w:ascii="黑体" w:eastAsia="黑体" w:hAnsi="黑体" w:cs="黑体" w:hint="eastAsia"/>
          <w:kern w:val="2"/>
          <w:szCs w:val="32"/>
          <w:lang w:eastAsia="zh-CN"/>
        </w:rPr>
        <w:t>是否经过严格的匿名化处理？</w:t>
      </w:r>
    </w:p>
    <w:p w14:paraId="777D4F69" w14:textId="77777777" w:rsidR="00D15483" w:rsidRDefault="006E0AFE">
      <w:pPr>
        <w:widowControl w:val="0"/>
        <w:kinsoku/>
        <w:autoSpaceDE/>
        <w:autoSpaceDN/>
        <w:adjustRightInd/>
        <w:snapToGrid/>
        <w:ind w:firstLineChars="200" w:firstLine="640"/>
        <w:textAlignment w:val="auto"/>
        <w:rPr>
          <w:rFonts w:ascii="仿宋_GB2312" w:eastAsia="仿宋_GB2312" w:hAnsi="仿宋_GB2312" w:cs="仿宋_GB2312" w:hint="eastAsia"/>
          <w:szCs w:val="32"/>
          <w:lang w:eastAsia="zh-CN"/>
        </w:rPr>
      </w:pPr>
      <w:r>
        <w:rPr>
          <w:rFonts w:ascii="仿宋_GB2312" w:eastAsia="仿宋_GB2312" w:hAnsi="仿宋_GB2312" w:cs="仿宋_GB2312" w:hint="eastAsia"/>
          <w:b/>
          <w:bCs/>
          <w:szCs w:val="32"/>
          <w:lang w:eastAsia="zh-CN"/>
        </w:rPr>
        <w:t>答：</w:t>
      </w:r>
      <w:r>
        <w:rPr>
          <w:rFonts w:ascii="仿宋_GB2312" w:eastAsia="仿宋_GB2312" w:hAnsi="仿宋_GB2312" w:cs="仿宋_GB2312" w:hint="eastAsia"/>
          <w:szCs w:val="32"/>
          <w:lang w:eastAsia="zh-CN"/>
        </w:rPr>
        <w:t>初赛阶段大赛组委会专家会对自动化评分结果进行复核，在此过程中组委会对参赛团队信息进行匿名化处理，确保专家在复核分数的过程中无法获取团队信息，且该阶段不涉及代码方面的评审，各评审专家无法查阅模型的代码。进入决赛的团队需现场路演，并由评审专家现场打分，在此过程中评审专家可获取团</w:t>
      </w:r>
      <w:r>
        <w:rPr>
          <w:rFonts w:ascii="仿宋_GB2312" w:eastAsia="仿宋_GB2312" w:hAnsi="仿宋_GB2312" w:cs="仿宋_GB2312" w:hint="eastAsia"/>
          <w:szCs w:val="32"/>
          <w:lang w:eastAsia="zh-CN"/>
        </w:rPr>
        <w:lastRenderedPageBreak/>
        <w:t>队相关信息。</w:t>
      </w:r>
    </w:p>
    <w:p w14:paraId="1D5C714C" w14:textId="77777777" w:rsidR="00D15483" w:rsidRDefault="006E0AFE">
      <w:pPr>
        <w:widowControl w:val="0"/>
        <w:kinsoku/>
        <w:autoSpaceDE/>
        <w:autoSpaceDN/>
        <w:adjustRightInd/>
        <w:snapToGrid/>
        <w:ind w:firstLineChars="200" w:firstLine="640"/>
        <w:textAlignment w:val="auto"/>
        <w:rPr>
          <w:rFonts w:ascii="黑体" w:eastAsia="黑体" w:hAnsi="黑体" w:cs="黑体" w:hint="eastAsia"/>
          <w:szCs w:val="32"/>
          <w:lang w:eastAsia="zh-CN"/>
        </w:rPr>
      </w:pPr>
      <w:r>
        <w:rPr>
          <w:rFonts w:ascii="黑体" w:eastAsia="黑体" w:hAnsi="黑体" w:cs="黑体" w:hint="eastAsia"/>
          <w:szCs w:val="32"/>
          <w:lang w:eastAsia="zh-CN"/>
        </w:rPr>
        <w:t>四、评委专业领域是否与赛题匹配，是否要求签署利益冲突回避声明？</w:t>
      </w:r>
    </w:p>
    <w:p w14:paraId="7E7337B6" w14:textId="77777777" w:rsidR="00D15483" w:rsidRDefault="006E0AFE">
      <w:pPr>
        <w:widowControl w:val="0"/>
        <w:kinsoku/>
        <w:autoSpaceDE/>
        <w:autoSpaceDN/>
        <w:adjustRightInd/>
        <w:snapToGrid/>
        <w:ind w:firstLineChars="200" w:firstLine="640"/>
        <w:textAlignment w:val="auto"/>
        <w:rPr>
          <w:rFonts w:ascii="仿宋_GB2312" w:eastAsia="仿宋_GB2312" w:hAnsi="仿宋_GB2312" w:cs="仿宋_GB2312" w:hint="eastAsia"/>
          <w:szCs w:val="32"/>
          <w:lang w:eastAsia="zh-CN"/>
        </w:rPr>
      </w:pPr>
      <w:r>
        <w:rPr>
          <w:rFonts w:ascii="仿宋_GB2312" w:eastAsia="仿宋_GB2312" w:hAnsi="仿宋_GB2312" w:cs="仿宋_GB2312" w:hint="eastAsia"/>
          <w:b/>
          <w:bCs/>
          <w:szCs w:val="32"/>
          <w:lang w:eastAsia="zh-CN"/>
        </w:rPr>
        <w:t>答：</w:t>
      </w:r>
      <w:r>
        <w:rPr>
          <w:rFonts w:ascii="仿宋_GB2312" w:eastAsia="仿宋_GB2312" w:hAnsi="仿宋_GB2312" w:cs="仿宋_GB2312" w:hint="eastAsia"/>
          <w:szCs w:val="32"/>
          <w:lang w:eastAsia="zh-CN"/>
        </w:rPr>
        <w:t>组委会为各评审指标配备专业领域相匹配的评审专家，所有评审专家均需签署保密协议及利益冲突回避声明。</w:t>
      </w:r>
    </w:p>
    <w:p w14:paraId="252D4FC8" w14:textId="77777777" w:rsidR="00D15483" w:rsidRDefault="006E0AFE">
      <w:pPr>
        <w:widowControl w:val="0"/>
        <w:kinsoku/>
        <w:autoSpaceDE/>
        <w:autoSpaceDN/>
        <w:adjustRightInd/>
        <w:snapToGrid/>
        <w:ind w:firstLineChars="200" w:firstLine="640"/>
        <w:textAlignment w:val="auto"/>
        <w:rPr>
          <w:rFonts w:ascii="黑体" w:eastAsia="黑体" w:hAnsi="黑体" w:cs="黑体" w:hint="eastAsia"/>
          <w:szCs w:val="32"/>
          <w:lang w:eastAsia="zh-CN"/>
        </w:rPr>
      </w:pPr>
      <w:r>
        <w:rPr>
          <w:rFonts w:ascii="黑体" w:eastAsia="黑体" w:hAnsi="黑体" w:cs="黑体" w:hint="eastAsia"/>
          <w:szCs w:val="32"/>
          <w:lang w:eastAsia="zh-CN"/>
        </w:rPr>
        <w:t>五、主办方如何保证复现环境与队伍提交时一致，复现结果有偏差时以何为准？</w:t>
      </w:r>
    </w:p>
    <w:p w14:paraId="565A7F80" w14:textId="77777777" w:rsidR="00D15483" w:rsidRDefault="006E0AFE">
      <w:pPr>
        <w:widowControl w:val="0"/>
        <w:kinsoku/>
        <w:autoSpaceDE/>
        <w:autoSpaceDN/>
        <w:adjustRightInd/>
        <w:snapToGrid/>
        <w:ind w:firstLineChars="200" w:firstLine="640"/>
        <w:textAlignment w:val="auto"/>
        <w:rPr>
          <w:rFonts w:ascii="仿宋_GB2312" w:eastAsia="仿宋_GB2312" w:hAnsi="仿宋_GB2312" w:cs="仿宋_GB2312" w:hint="eastAsia"/>
          <w:szCs w:val="32"/>
          <w:lang w:eastAsia="zh-CN"/>
        </w:rPr>
      </w:pPr>
      <w:r>
        <w:rPr>
          <w:rFonts w:ascii="仿宋_GB2312" w:eastAsia="仿宋_GB2312" w:hAnsi="仿宋_GB2312" w:cs="仿宋_GB2312" w:hint="eastAsia"/>
          <w:b/>
          <w:bCs/>
          <w:szCs w:val="32"/>
          <w:lang w:eastAsia="zh-CN"/>
        </w:rPr>
        <w:t>答：</w:t>
      </w:r>
      <w:r>
        <w:rPr>
          <w:rFonts w:ascii="仿宋_GB2312" w:eastAsia="仿宋_GB2312" w:hAnsi="仿宋_GB2312" w:cs="仿宋_GB2312" w:hint="eastAsia"/>
          <w:szCs w:val="32"/>
          <w:lang w:eastAsia="zh-CN"/>
        </w:rPr>
        <w:t>若参加自带模型组，则由参赛团队自主将其自有模型及配套模型权重部署至大赛的云平台，使用平台中的算力资源完成模型的训练、验证及推理测试。若参加自建模型组，则由参赛团队在大赛的云平台中使用组委会提供的相关基础资源完成模型的搭建与改造，并完成模型的训练、验证及推理测试。因此，比赛全过程由参赛团队自行将模型与大赛提供的算力环境进行匹配以确保其模型发挥真实性能。</w:t>
      </w:r>
    </w:p>
    <w:p w14:paraId="68DA3527" w14:textId="77777777" w:rsidR="00D15483" w:rsidRDefault="006E0AFE">
      <w:pPr>
        <w:widowControl w:val="0"/>
        <w:kinsoku/>
        <w:autoSpaceDE/>
        <w:autoSpaceDN/>
        <w:adjustRightInd/>
        <w:snapToGrid/>
        <w:ind w:firstLineChars="200" w:firstLine="640"/>
        <w:textAlignment w:val="auto"/>
        <w:rPr>
          <w:rFonts w:ascii="黑体" w:eastAsia="黑体" w:hAnsi="黑体" w:cs="黑体" w:hint="eastAsia"/>
          <w:szCs w:val="32"/>
          <w:lang w:eastAsia="zh-CN"/>
        </w:rPr>
      </w:pPr>
      <w:r>
        <w:rPr>
          <w:rFonts w:ascii="黑体" w:eastAsia="黑体" w:hAnsi="黑体" w:cs="黑体" w:hint="eastAsia"/>
          <w:szCs w:val="32"/>
          <w:lang w:eastAsia="zh-CN"/>
        </w:rPr>
        <w:t>六、最终是否会提供每支队伍的评分细项及评语，并允许队伍申请查看自己的评分详情？</w:t>
      </w:r>
    </w:p>
    <w:p w14:paraId="16360957" w14:textId="77777777" w:rsidR="00D15483" w:rsidRDefault="006E0AFE">
      <w:pPr>
        <w:widowControl w:val="0"/>
        <w:kinsoku/>
        <w:autoSpaceDE/>
        <w:autoSpaceDN/>
        <w:adjustRightInd/>
        <w:snapToGrid/>
        <w:ind w:firstLineChars="200" w:firstLine="640"/>
        <w:textAlignment w:val="auto"/>
        <w:rPr>
          <w:rFonts w:ascii="仿宋_GB2312" w:eastAsia="仿宋_GB2312" w:hAnsi="仿宋_GB2312" w:cs="仿宋_GB2312" w:hint="eastAsia"/>
          <w:szCs w:val="32"/>
          <w:lang w:eastAsia="zh-CN"/>
        </w:rPr>
      </w:pPr>
      <w:r>
        <w:rPr>
          <w:rFonts w:ascii="仿宋_GB2312" w:eastAsia="仿宋_GB2312" w:hAnsi="仿宋_GB2312" w:cs="仿宋_GB2312" w:hint="eastAsia"/>
          <w:b/>
          <w:bCs/>
          <w:szCs w:val="32"/>
          <w:lang w:eastAsia="zh-CN"/>
        </w:rPr>
        <w:t>答：</w:t>
      </w:r>
      <w:r>
        <w:rPr>
          <w:rFonts w:ascii="仿宋_GB2312" w:eastAsia="仿宋_GB2312" w:hAnsi="仿宋_GB2312" w:cs="仿宋_GB2312" w:hint="eastAsia"/>
          <w:szCs w:val="32"/>
          <w:lang w:eastAsia="zh-CN"/>
        </w:rPr>
        <w:t>初赛、决赛阶段允许参赛团队查看本团队的各项评分指标得分。本次大赛不涉及评审专家为参赛团队提供评语。</w:t>
      </w:r>
    </w:p>
    <w:p w14:paraId="3210FEDC" w14:textId="77777777" w:rsidR="00D15483" w:rsidRDefault="006E0AFE">
      <w:pPr>
        <w:widowControl w:val="0"/>
        <w:kinsoku/>
        <w:autoSpaceDE/>
        <w:autoSpaceDN/>
        <w:adjustRightInd/>
        <w:snapToGrid/>
        <w:ind w:firstLineChars="200" w:firstLine="640"/>
        <w:textAlignment w:val="auto"/>
        <w:rPr>
          <w:rFonts w:ascii="黑体" w:eastAsia="黑体" w:hAnsi="黑体" w:cs="黑体" w:hint="eastAsia"/>
          <w:szCs w:val="32"/>
          <w:lang w:eastAsia="zh-CN"/>
        </w:rPr>
      </w:pPr>
      <w:r>
        <w:rPr>
          <w:rFonts w:ascii="黑体" w:eastAsia="黑体" w:hAnsi="黑体" w:cs="黑体" w:hint="eastAsia"/>
          <w:szCs w:val="32"/>
          <w:lang w:eastAsia="zh-CN"/>
        </w:rPr>
        <w:t>七、申诉复核的具体流程是什么？复核由原评审小组还是独立第三方进行？</w:t>
      </w:r>
    </w:p>
    <w:p w14:paraId="510E16DC" w14:textId="77777777" w:rsidR="00D15483" w:rsidRDefault="006E0AFE">
      <w:pPr>
        <w:widowControl w:val="0"/>
        <w:kinsoku/>
        <w:autoSpaceDE/>
        <w:autoSpaceDN/>
        <w:adjustRightInd/>
        <w:snapToGrid/>
        <w:ind w:firstLineChars="200" w:firstLine="640"/>
        <w:textAlignment w:val="auto"/>
        <w:rPr>
          <w:rFonts w:ascii="仿宋_GB2312" w:eastAsia="仿宋_GB2312" w:hAnsi="仿宋_GB2312" w:cs="仿宋_GB2312" w:hint="eastAsia"/>
          <w:szCs w:val="32"/>
          <w:lang w:eastAsia="zh-CN"/>
        </w:rPr>
      </w:pPr>
      <w:r>
        <w:rPr>
          <w:rFonts w:ascii="仿宋_GB2312" w:eastAsia="仿宋_GB2312" w:hAnsi="仿宋_GB2312" w:cs="仿宋_GB2312" w:hint="eastAsia"/>
          <w:b/>
          <w:bCs/>
          <w:szCs w:val="32"/>
          <w:lang w:eastAsia="zh-CN"/>
        </w:rPr>
        <w:lastRenderedPageBreak/>
        <w:t>答：</w:t>
      </w:r>
      <w:r>
        <w:rPr>
          <w:rFonts w:ascii="仿宋_GB2312" w:eastAsia="仿宋_GB2312" w:hAnsi="仿宋_GB2312" w:cs="仿宋_GB2312" w:hint="eastAsia"/>
          <w:szCs w:val="32"/>
          <w:lang w:eastAsia="zh-CN"/>
        </w:rPr>
        <w:t>申述仲裁流程详见组委会公布的《</w:t>
      </w:r>
      <w:r>
        <w:rPr>
          <w:rFonts w:ascii="仿宋_GB2312" w:eastAsia="仿宋_GB2312" w:hAnsi="仿宋_GB2312" w:cs="仿宋_GB2312"/>
          <w:szCs w:val="32"/>
          <w:lang w:eastAsia="zh-CN"/>
        </w:rPr>
        <w:t>全国医保影像AI识图大赛申诉与仲裁规则</w:t>
      </w:r>
      <w:r>
        <w:rPr>
          <w:rFonts w:ascii="仿宋_GB2312" w:eastAsia="仿宋_GB2312" w:hAnsi="仿宋_GB2312" w:cs="仿宋_GB2312" w:hint="eastAsia"/>
          <w:szCs w:val="32"/>
          <w:lang w:eastAsia="zh-CN"/>
        </w:rPr>
        <w:t>》。由未参加过评审及仲裁的专家开展复核工作。</w:t>
      </w:r>
    </w:p>
    <w:p w14:paraId="248FE711" w14:textId="77777777" w:rsidR="00D15483" w:rsidRDefault="006E0AFE">
      <w:pPr>
        <w:widowControl w:val="0"/>
        <w:kinsoku/>
        <w:autoSpaceDE/>
        <w:autoSpaceDN/>
        <w:adjustRightInd/>
        <w:snapToGrid/>
        <w:ind w:firstLineChars="200" w:firstLine="640"/>
        <w:textAlignment w:val="auto"/>
        <w:rPr>
          <w:rFonts w:ascii="黑体" w:eastAsia="黑体" w:hAnsi="黑体" w:cs="黑体" w:hint="eastAsia"/>
          <w:szCs w:val="32"/>
          <w:lang w:eastAsia="zh-CN"/>
        </w:rPr>
      </w:pPr>
      <w:r>
        <w:rPr>
          <w:rFonts w:ascii="黑体" w:eastAsia="黑体" w:hAnsi="黑体" w:cs="黑体" w:hint="eastAsia"/>
          <w:szCs w:val="32"/>
          <w:lang w:eastAsia="zh-CN"/>
        </w:rPr>
        <w:t>八、参赛协议中是否会以模糊条款要求转让或永久授权我方模型的知识产权？</w:t>
      </w:r>
    </w:p>
    <w:p w14:paraId="3FA0354B" w14:textId="77777777" w:rsidR="00D15483" w:rsidRDefault="006E0AFE">
      <w:pPr>
        <w:widowControl w:val="0"/>
        <w:kinsoku/>
        <w:autoSpaceDE/>
        <w:autoSpaceDN/>
        <w:adjustRightInd/>
        <w:snapToGrid/>
        <w:ind w:firstLineChars="200" w:firstLine="640"/>
        <w:textAlignment w:val="auto"/>
        <w:rPr>
          <w:rFonts w:ascii="仿宋_GB2312" w:eastAsia="仿宋_GB2312" w:hAnsi="仿宋_GB2312" w:cs="仿宋_GB2312" w:hint="eastAsia"/>
          <w:szCs w:val="32"/>
          <w:lang w:eastAsia="zh-CN"/>
        </w:rPr>
      </w:pPr>
      <w:r>
        <w:rPr>
          <w:rFonts w:ascii="仿宋_GB2312" w:eastAsia="仿宋_GB2312" w:hAnsi="仿宋_GB2312" w:cs="仿宋_GB2312" w:hint="eastAsia"/>
          <w:b/>
          <w:bCs/>
          <w:szCs w:val="32"/>
          <w:lang w:eastAsia="zh-CN"/>
        </w:rPr>
        <w:t>答：</w:t>
      </w:r>
      <w:r>
        <w:rPr>
          <w:rFonts w:ascii="仿宋_GB2312" w:eastAsia="仿宋_GB2312" w:hAnsi="仿宋_GB2312" w:cs="仿宋_GB2312" w:hint="eastAsia"/>
          <w:szCs w:val="32"/>
          <w:lang w:eastAsia="zh-CN"/>
        </w:rPr>
        <w:t>组委会不要求参赛团队转让或永久授权其模型及相关知识产权，参赛协议中也无相应的转让或永久授权条款。</w:t>
      </w:r>
    </w:p>
    <w:p w14:paraId="002947FB" w14:textId="77777777" w:rsidR="00D15483" w:rsidRDefault="006E0AFE">
      <w:pPr>
        <w:widowControl w:val="0"/>
        <w:kinsoku/>
        <w:autoSpaceDE/>
        <w:autoSpaceDN/>
        <w:adjustRightInd/>
        <w:snapToGrid/>
        <w:ind w:firstLineChars="200" w:firstLine="640"/>
        <w:textAlignment w:val="auto"/>
        <w:rPr>
          <w:rFonts w:ascii="黑体" w:eastAsia="黑体" w:hAnsi="黑体" w:cs="黑体" w:hint="eastAsia"/>
          <w:szCs w:val="32"/>
          <w:lang w:eastAsia="zh-CN"/>
        </w:rPr>
      </w:pPr>
      <w:r>
        <w:rPr>
          <w:rFonts w:ascii="黑体" w:eastAsia="黑体" w:hAnsi="黑体" w:cs="黑体" w:hint="eastAsia"/>
          <w:szCs w:val="32"/>
          <w:lang w:eastAsia="zh-CN"/>
        </w:rPr>
        <w:t>九、主办方内部技术人员接触我方完整代码是否受严格</w:t>
      </w:r>
    </w:p>
    <w:p w14:paraId="4ABB1178" w14:textId="77777777" w:rsidR="00D15483" w:rsidRDefault="006E0AFE">
      <w:pPr>
        <w:widowControl w:val="0"/>
        <w:kinsoku/>
        <w:autoSpaceDE/>
        <w:autoSpaceDN/>
        <w:adjustRightInd/>
        <w:snapToGrid/>
        <w:textAlignment w:val="auto"/>
        <w:rPr>
          <w:rFonts w:ascii="黑体" w:eastAsia="黑体" w:hAnsi="黑体" w:cs="黑体" w:hint="eastAsia"/>
          <w:szCs w:val="32"/>
          <w:lang w:eastAsia="zh-CN"/>
        </w:rPr>
      </w:pPr>
      <w:r>
        <w:rPr>
          <w:rFonts w:ascii="黑体" w:eastAsia="黑体" w:hAnsi="黑体" w:cs="黑体" w:hint="eastAsia"/>
          <w:szCs w:val="32"/>
          <w:lang w:eastAsia="zh-CN"/>
        </w:rPr>
        <w:t>限制，是否有操作审计日志？</w:t>
      </w:r>
    </w:p>
    <w:p w14:paraId="059A05A9" w14:textId="77777777" w:rsidR="00D15483" w:rsidRDefault="006E0AFE">
      <w:pPr>
        <w:widowControl w:val="0"/>
        <w:kinsoku/>
        <w:autoSpaceDE/>
        <w:autoSpaceDN/>
        <w:adjustRightInd/>
        <w:snapToGrid/>
        <w:ind w:firstLineChars="200" w:firstLine="640"/>
        <w:textAlignment w:val="auto"/>
        <w:rPr>
          <w:rFonts w:ascii="仿宋_GB2312" w:eastAsia="仿宋_GB2312" w:hAnsi="仿宋_GB2312" w:cs="仿宋_GB2312" w:hint="eastAsia"/>
          <w:szCs w:val="32"/>
          <w:lang w:eastAsia="zh-CN"/>
        </w:rPr>
      </w:pPr>
      <w:r>
        <w:rPr>
          <w:rFonts w:ascii="仿宋_GB2312" w:eastAsia="仿宋_GB2312" w:hAnsi="仿宋_GB2312" w:cs="仿宋_GB2312" w:hint="eastAsia"/>
          <w:b/>
          <w:bCs/>
          <w:szCs w:val="32"/>
          <w:lang w:eastAsia="zh-CN"/>
        </w:rPr>
        <w:t>答：</w:t>
      </w:r>
      <w:r>
        <w:rPr>
          <w:rFonts w:ascii="仿宋_GB2312" w:eastAsia="仿宋_GB2312" w:hAnsi="仿宋_GB2312" w:cs="仿宋_GB2312" w:hint="eastAsia"/>
          <w:szCs w:val="32"/>
          <w:lang w:eastAsia="zh-CN"/>
        </w:rPr>
        <w:t>主办方内部技术人员均已签署保密协议，比赛期间参赛队伍上传的自有模型和编写的代码仅在分配的沙箱环境内受保护运行，禁止任何未经授权的非法操作（包括平台管理员），保障代码、模型、数据独享不泄漏。</w:t>
      </w:r>
    </w:p>
    <w:p w14:paraId="00D7D6D3" w14:textId="77777777" w:rsidR="00D15483" w:rsidRDefault="006E0AFE">
      <w:pPr>
        <w:widowControl w:val="0"/>
        <w:kinsoku/>
        <w:autoSpaceDE/>
        <w:autoSpaceDN/>
        <w:adjustRightInd/>
        <w:snapToGrid/>
        <w:ind w:firstLineChars="200" w:firstLine="640"/>
        <w:textAlignment w:val="auto"/>
        <w:rPr>
          <w:rFonts w:ascii="黑体" w:eastAsia="黑体" w:hAnsi="黑体" w:cs="黑体" w:hint="eastAsia"/>
          <w:szCs w:val="32"/>
          <w:lang w:eastAsia="zh-CN"/>
        </w:rPr>
      </w:pPr>
      <w:r>
        <w:rPr>
          <w:rFonts w:ascii="黑体" w:eastAsia="黑体" w:hAnsi="黑体" w:cs="黑体" w:hint="eastAsia"/>
          <w:szCs w:val="32"/>
          <w:lang w:eastAsia="zh-CN"/>
        </w:rPr>
        <w:t>十、提供的计算环境是否具备硬件级可信执行环境或严格的容器化隔离，以防御沙箱逃逸攻击？</w:t>
      </w:r>
    </w:p>
    <w:p w14:paraId="7359197E" w14:textId="77777777" w:rsidR="00D15483" w:rsidRDefault="006E0AFE">
      <w:pPr>
        <w:widowControl w:val="0"/>
        <w:kinsoku/>
        <w:autoSpaceDE/>
        <w:autoSpaceDN/>
        <w:adjustRightInd/>
        <w:snapToGrid/>
        <w:ind w:firstLineChars="200" w:firstLine="640"/>
        <w:textAlignment w:val="auto"/>
        <w:rPr>
          <w:rFonts w:ascii="仿宋_GB2312" w:eastAsia="仿宋_GB2312" w:hAnsi="仿宋_GB2312" w:cs="仿宋_GB2312" w:hint="eastAsia"/>
          <w:szCs w:val="32"/>
          <w:lang w:eastAsia="zh-CN"/>
        </w:rPr>
      </w:pPr>
      <w:r>
        <w:rPr>
          <w:rFonts w:ascii="仿宋_GB2312" w:eastAsia="仿宋_GB2312" w:hAnsi="仿宋_GB2312" w:cs="仿宋_GB2312" w:hint="eastAsia"/>
          <w:b/>
          <w:bCs/>
          <w:szCs w:val="32"/>
          <w:lang w:eastAsia="zh-CN"/>
        </w:rPr>
        <w:t>答：</w:t>
      </w:r>
      <w:r>
        <w:rPr>
          <w:rFonts w:ascii="仿宋_GB2312" w:eastAsia="仿宋_GB2312" w:hAnsi="仿宋_GB2312" w:cs="仿宋_GB2312" w:hint="eastAsia"/>
          <w:szCs w:val="32"/>
          <w:lang w:eastAsia="zh-CN"/>
        </w:rPr>
        <w:t>平台具备严格的容器化隔离，但不具备硬件级可信执行环境。</w:t>
      </w:r>
    </w:p>
    <w:p w14:paraId="3C33E37F" w14:textId="77777777" w:rsidR="00D15483" w:rsidRDefault="006E0AFE">
      <w:pPr>
        <w:widowControl w:val="0"/>
        <w:kinsoku/>
        <w:autoSpaceDE/>
        <w:autoSpaceDN/>
        <w:adjustRightInd/>
        <w:snapToGrid/>
        <w:ind w:firstLineChars="200" w:firstLine="640"/>
        <w:textAlignment w:val="auto"/>
        <w:rPr>
          <w:rFonts w:ascii="黑体" w:eastAsia="黑体" w:hAnsi="黑体" w:cs="黑体" w:hint="eastAsia"/>
          <w:szCs w:val="32"/>
          <w:lang w:eastAsia="zh-CN"/>
        </w:rPr>
      </w:pPr>
      <w:r>
        <w:rPr>
          <w:rFonts w:ascii="黑体" w:eastAsia="黑体" w:hAnsi="黑体" w:cs="黑体" w:hint="eastAsia"/>
          <w:kern w:val="2"/>
          <w:szCs w:val="32"/>
          <w:lang w:eastAsia="zh-CN"/>
        </w:rPr>
        <w:t>十一、</w:t>
      </w:r>
      <w:r>
        <w:rPr>
          <w:rFonts w:ascii="黑体" w:eastAsia="黑体" w:hAnsi="黑体" w:cs="黑体" w:hint="eastAsia"/>
          <w:szCs w:val="32"/>
          <w:lang w:eastAsia="zh-CN"/>
        </w:rPr>
        <w:t>算法训练是否提供算力？</w:t>
      </w:r>
    </w:p>
    <w:p w14:paraId="2DAB53BB" w14:textId="77777777" w:rsidR="00D15483" w:rsidRDefault="006E0AFE">
      <w:pPr>
        <w:widowControl w:val="0"/>
        <w:kinsoku/>
        <w:autoSpaceDE/>
        <w:autoSpaceDN/>
        <w:adjustRightInd/>
        <w:snapToGrid/>
        <w:ind w:firstLineChars="200" w:firstLine="640"/>
        <w:textAlignment w:val="auto"/>
        <w:rPr>
          <w:rFonts w:ascii="仿宋_GB2312" w:eastAsia="仿宋_GB2312" w:hAnsi="仿宋_GB2312" w:cs="仿宋_GB2312" w:hint="eastAsia"/>
          <w:szCs w:val="32"/>
          <w:lang w:eastAsia="zh-CN"/>
        </w:rPr>
      </w:pPr>
      <w:r>
        <w:rPr>
          <w:rFonts w:ascii="仿宋_GB2312" w:eastAsia="仿宋_GB2312" w:hAnsi="仿宋_GB2312" w:cs="仿宋_GB2312" w:hint="eastAsia"/>
          <w:b/>
          <w:bCs/>
          <w:szCs w:val="32"/>
          <w:lang w:eastAsia="zh-CN"/>
        </w:rPr>
        <w:t>答：</w:t>
      </w:r>
      <w:r>
        <w:rPr>
          <w:rFonts w:ascii="仿宋_GB2312" w:eastAsia="仿宋_GB2312" w:hAnsi="仿宋_GB2312" w:cs="仿宋_GB2312" w:hint="eastAsia"/>
          <w:szCs w:val="32"/>
          <w:lang w:eastAsia="zh-CN"/>
        </w:rPr>
        <w:t>大赛平台会提供相关算力支持。报名审核通过后，参赛</w:t>
      </w:r>
      <w:r>
        <w:rPr>
          <w:rFonts w:ascii="仿宋_GB2312" w:eastAsia="仿宋_GB2312" w:hAnsi="仿宋_GB2312" w:cs="仿宋_GB2312" w:hint="eastAsia"/>
          <w:szCs w:val="32"/>
          <w:lang w:eastAsia="zh-CN"/>
        </w:rPr>
        <w:lastRenderedPageBreak/>
        <w:t>队伍可在线登录至赛事平台可信开发环境，系统将自动分配专属的算力云网资源。</w:t>
      </w:r>
    </w:p>
    <w:p w14:paraId="20B8098C" w14:textId="77777777" w:rsidR="00D15483" w:rsidRDefault="006E0AFE">
      <w:pPr>
        <w:widowControl w:val="0"/>
        <w:kinsoku/>
        <w:autoSpaceDE/>
        <w:autoSpaceDN/>
        <w:adjustRightInd/>
        <w:snapToGrid/>
        <w:ind w:firstLineChars="200" w:firstLine="640"/>
        <w:textAlignment w:val="auto"/>
        <w:rPr>
          <w:rFonts w:ascii="黑体" w:eastAsia="黑体" w:hAnsi="黑体" w:cs="黑体" w:hint="eastAsia"/>
          <w:szCs w:val="32"/>
          <w:lang w:eastAsia="zh-CN"/>
        </w:rPr>
      </w:pPr>
      <w:r>
        <w:rPr>
          <w:rFonts w:ascii="黑体" w:eastAsia="黑体" w:hAnsi="黑体" w:cs="黑体" w:hint="eastAsia"/>
          <w:kern w:val="2"/>
          <w:szCs w:val="32"/>
          <w:lang w:eastAsia="zh-CN"/>
        </w:rPr>
        <w:t>十二、</w:t>
      </w:r>
      <w:r>
        <w:rPr>
          <w:rFonts w:ascii="黑体" w:eastAsia="黑体" w:hAnsi="黑体" w:cs="黑体" w:hint="eastAsia"/>
          <w:szCs w:val="32"/>
          <w:lang w:eastAsia="zh-CN"/>
        </w:rPr>
        <w:t>算法训练在统一云平台进行，数据是否需要下载到本地？</w:t>
      </w:r>
    </w:p>
    <w:p w14:paraId="4F5306D1" w14:textId="77777777" w:rsidR="00D15483" w:rsidRDefault="006E0AFE">
      <w:pPr>
        <w:widowControl w:val="0"/>
        <w:kinsoku/>
        <w:autoSpaceDE/>
        <w:autoSpaceDN/>
        <w:adjustRightInd/>
        <w:snapToGrid/>
        <w:ind w:firstLineChars="200" w:firstLine="640"/>
        <w:textAlignment w:val="auto"/>
        <w:rPr>
          <w:rFonts w:ascii="仿宋_GB2312" w:eastAsia="仿宋_GB2312" w:hAnsi="仿宋_GB2312" w:cs="仿宋_GB2312" w:hint="eastAsia"/>
          <w:szCs w:val="32"/>
          <w:lang w:eastAsia="zh-CN"/>
        </w:rPr>
      </w:pPr>
      <w:r>
        <w:rPr>
          <w:rFonts w:ascii="仿宋_GB2312" w:eastAsia="仿宋_GB2312" w:hAnsi="仿宋_GB2312" w:cs="仿宋_GB2312" w:hint="eastAsia"/>
          <w:b/>
          <w:bCs/>
          <w:szCs w:val="32"/>
          <w:lang w:eastAsia="zh-CN"/>
        </w:rPr>
        <w:t>答：</w:t>
      </w:r>
      <w:r>
        <w:rPr>
          <w:rFonts w:ascii="仿宋_GB2312" w:eastAsia="仿宋_GB2312" w:hAnsi="仿宋_GB2312" w:cs="仿宋_GB2312" w:hint="eastAsia"/>
          <w:szCs w:val="32"/>
          <w:lang w:eastAsia="zh-CN"/>
        </w:rPr>
        <w:t>数据不允许下载到本地，需在赛事平台可信开发环境内使用。</w:t>
      </w:r>
    </w:p>
    <w:p w14:paraId="3F395A4A" w14:textId="77777777" w:rsidR="00D15483" w:rsidRDefault="006E0AFE">
      <w:pPr>
        <w:widowControl w:val="0"/>
        <w:kinsoku/>
        <w:autoSpaceDE/>
        <w:autoSpaceDN/>
        <w:adjustRightInd/>
        <w:snapToGrid/>
        <w:ind w:firstLineChars="200" w:firstLine="640"/>
        <w:textAlignment w:val="auto"/>
        <w:rPr>
          <w:rFonts w:ascii="黑体" w:eastAsia="黑体" w:hAnsi="黑体" w:cs="黑体" w:hint="eastAsia"/>
          <w:kern w:val="2"/>
          <w:szCs w:val="32"/>
          <w:lang w:eastAsia="zh-CN"/>
        </w:rPr>
      </w:pPr>
      <w:r>
        <w:rPr>
          <w:rFonts w:ascii="黑体" w:eastAsia="黑体" w:hAnsi="黑体" w:cs="黑体" w:hint="eastAsia"/>
          <w:kern w:val="2"/>
          <w:szCs w:val="32"/>
          <w:lang w:eastAsia="zh-CN"/>
        </w:rPr>
        <w:t>十三、大赛平台提供的推理／训练环境，显卡的具体型号及单卡显存大小是什么？是否有单任务多卡并行的支持？</w:t>
      </w:r>
    </w:p>
    <w:p w14:paraId="1649A4F9" w14:textId="77777777" w:rsidR="00D15483" w:rsidRDefault="006E0AFE">
      <w:pPr>
        <w:kinsoku/>
        <w:autoSpaceDE/>
        <w:autoSpaceDN/>
        <w:adjustRightInd/>
        <w:snapToGrid/>
        <w:ind w:firstLineChars="200" w:firstLine="640"/>
        <w:textAlignment w:val="auto"/>
        <w:rPr>
          <w:rFonts w:ascii="仿宋_GB2312" w:eastAsia="仿宋_GB2312" w:hAnsi="仿宋_GB2312" w:cs="仿宋_GB2312" w:hint="eastAsia"/>
          <w:szCs w:val="32"/>
          <w:lang w:eastAsia="zh-CN"/>
        </w:rPr>
      </w:pPr>
      <w:r>
        <w:rPr>
          <w:rFonts w:ascii="仿宋_GB2312" w:eastAsia="仿宋_GB2312" w:hAnsi="仿宋_GB2312" w:cs="仿宋_GB2312" w:hint="eastAsia"/>
          <w:b/>
          <w:bCs/>
          <w:kern w:val="2"/>
          <w:szCs w:val="32"/>
          <w:lang w:eastAsia="zh-CN"/>
        </w:rPr>
        <w:t>答：</w:t>
      </w:r>
      <w:r>
        <w:rPr>
          <w:rFonts w:ascii="仿宋_GB2312" w:eastAsia="仿宋_GB2312" w:hAnsi="仿宋_GB2312" w:cs="仿宋_GB2312" w:hint="eastAsia"/>
          <w:szCs w:val="32"/>
          <w:lang w:eastAsia="zh-CN"/>
        </w:rPr>
        <w:t>单队伍单赛道算力初步规划配置（最终根据参赛情况动态调配）：单机16核 CPU、96G 内存、1T硬盘，单卡32G 显存，419 TFLOPS（FP16，稀疏）算力，显存预计会大于32G，具体参数待资源分配环节确认；目前暂不支持单任务多卡并行，后续将根据实际需求评估优化。</w:t>
      </w:r>
    </w:p>
    <w:p w14:paraId="224AA100" w14:textId="77777777" w:rsidR="00D15483" w:rsidRDefault="006E0AFE">
      <w:pPr>
        <w:widowControl w:val="0"/>
        <w:kinsoku/>
        <w:autoSpaceDE/>
        <w:autoSpaceDN/>
        <w:adjustRightInd/>
        <w:snapToGrid/>
        <w:ind w:firstLineChars="200" w:firstLine="640"/>
        <w:textAlignment w:val="auto"/>
        <w:rPr>
          <w:rFonts w:ascii="黑体" w:eastAsia="黑体" w:hAnsi="黑体" w:cs="黑体" w:hint="eastAsia"/>
          <w:kern w:val="2"/>
          <w:szCs w:val="32"/>
          <w:lang w:eastAsia="zh-CN"/>
        </w:rPr>
      </w:pPr>
      <w:r>
        <w:rPr>
          <w:rFonts w:ascii="黑体" w:eastAsia="黑体" w:hAnsi="黑体" w:cs="黑体" w:hint="eastAsia"/>
          <w:kern w:val="2"/>
          <w:szCs w:val="32"/>
          <w:lang w:eastAsia="zh-CN"/>
        </w:rPr>
        <w:t>十四、官方提供的医学影像数据集，是否已完全去除与个人身份相关的元数据（如患者ID、医院名称、扫描时间），是否存在可回溯的数据指纹？</w:t>
      </w:r>
    </w:p>
    <w:p w14:paraId="240F4DDA" w14:textId="77777777" w:rsidR="00D15483" w:rsidRDefault="006E0AFE">
      <w:pPr>
        <w:widowControl w:val="0"/>
        <w:kinsoku/>
        <w:autoSpaceDE/>
        <w:autoSpaceDN/>
        <w:adjustRightInd/>
        <w:snapToGrid/>
        <w:ind w:firstLineChars="200" w:firstLine="640"/>
        <w:textAlignment w:val="auto"/>
        <w:rPr>
          <w:rFonts w:ascii="黑体" w:eastAsia="黑体" w:hAnsi="黑体" w:cs="黑体" w:hint="eastAsia"/>
          <w:kern w:val="2"/>
          <w:szCs w:val="32"/>
          <w:lang w:eastAsia="zh-CN"/>
        </w:rPr>
      </w:pPr>
      <w:r>
        <w:rPr>
          <w:rFonts w:ascii="黑体" w:eastAsia="黑体" w:hAnsi="黑体" w:cs="黑体" w:hint="eastAsia"/>
          <w:kern w:val="2"/>
          <w:szCs w:val="32"/>
          <w:lang w:eastAsia="zh-CN"/>
        </w:rPr>
        <w:t>答：</w:t>
      </w:r>
      <w:r>
        <w:rPr>
          <w:rFonts w:ascii="仿宋_GB2312" w:eastAsia="仿宋_GB2312" w:hAnsi="仿宋_GB2312" w:cs="仿宋_GB2312" w:hint="eastAsia"/>
          <w:szCs w:val="32"/>
          <w:lang w:eastAsia="zh-CN"/>
        </w:rPr>
        <w:t>数据已全部进行了匿名化处理，匿名化处理后的数据不可以回溯。</w:t>
      </w:r>
    </w:p>
    <w:p w14:paraId="7A2A574B" w14:textId="77777777" w:rsidR="00D15483" w:rsidRDefault="006E0AFE">
      <w:pPr>
        <w:widowControl w:val="0"/>
        <w:kinsoku/>
        <w:autoSpaceDE/>
        <w:autoSpaceDN/>
        <w:adjustRightInd/>
        <w:snapToGrid/>
        <w:ind w:firstLineChars="200" w:firstLine="640"/>
        <w:textAlignment w:val="auto"/>
        <w:rPr>
          <w:rFonts w:ascii="黑体" w:eastAsia="黑体" w:hAnsi="黑体" w:cs="黑体" w:hint="eastAsia"/>
          <w:szCs w:val="32"/>
          <w:lang w:eastAsia="zh-CN"/>
        </w:rPr>
      </w:pPr>
      <w:r>
        <w:rPr>
          <w:rFonts w:ascii="黑体" w:eastAsia="黑体" w:hAnsi="黑体" w:cs="黑体" w:hint="eastAsia"/>
          <w:kern w:val="2"/>
          <w:szCs w:val="32"/>
          <w:lang w:eastAsia="zh-CN"/>
        </w:rPr>
        <w:t>十五、</w:t>
      </w:r>
      <w:r>
        <w:rPr>
          <w:rFonts w:ascii="黑体" w:eastAsia="黑体" w:hAnsi="黑体" w:cs="黑体" w:hint="eastAsia"/>
          <w:szCs w:val="32"/>
          <w:lang w:eastAsia="zh-CN"/>
        </w:rPr>
        <w:t>提供的CT数据集构造包含哪些参数？各赛道具体是2D图像、3D体积数据，还是涉及多模态融合（影像＋文本／基因</w:t>
      </w:r>
      <w:r>
        <w:rPr>
          <w:rFonts w:ascii="黑体" w:eastAsia="黑体" w:hAnsi="黑体" w:cs="黑体" w:hint="eastAsia"/>
          <w:szCs w:val="32"/>
          <w:lang w:eastAsia="zh-CN"/>
        </w:rPr>
        <w:lastRenderedPageBreak/>
        <w:t>等）？</w:t>
      </w:r>
    </w:p>
    <w:p w14:paraId="4563D3CE" w14:textId="77777777" w:rsidR="00D15483" w:rsidRDefault="006E0AFE">
      <w:pPr>
        <w:widowControl w:val="0"/>
        <w:kinsoku/>
        <w:autoSpaceDE/>
        <w:autoSpaceDN/>
        <w:adjustRightInd/>
        <w:snapToGrid/>
        <w:ind w:firstLineChars="200" w:firstLine="640"/>
        <w:textAlignment w:val="auto"/>
        <w:rPr>
          <w:rFonts w:ascii="仿宋_GB2312" w:eastAsia="仿宋_GB2312" w:hAnsi="仿宋_GB2312" w:cs="仿宋_GB2312" w:hint="eastAsia"/>
          <w:szCs w:val="32"/>
          <w:lang w:eastAsia="zh-CN"/>
        </w:rPr>
      </w:pPr>
      <w:r>
        <w:rPr>
          <w:rFonts w:ascii="仿宋_GB2312" w:eastAsia="仿宋_GB2312" w:hAnsi="仿宋_GB2312" w:cs="仿宋_GB2312" w:hint="eastAsia"/>
          <w:b/>
          <w:bCs/>
          <w:szCs w:val="32"/>
          <w:lang w:eastAsia="zh-CN"/>
        </w:rPr>
        <w:t>答：</w:t>
      </w:r>
      <w:r>
        <w:rPr>
          <w:rFonts w:ascii="仿宋_GB2312" w:eastAsia="仿宋_GB2312" w:hAnsi="仿宋_GB2312" w:cs="仿宋_GB2312" w:hint="eastAsia"/>
          <w:szCs w:val="32"/>
          <w:lang w:eastAsia="zh-CN"/>
        </w:rPr>
        <w:t>各赛道数据集规格如下：赛道一（肺癌）：CT 扫描期相至少包含平扫＋增强（动脉期、静脉期），共3个序列薄层；赛道三（脑动脉瘤）：包含至少一个增强薄层；赛道四（肾癌）：CT扫描期相至少包含平扫＋增强（皮质期、髓质期、排泄期），共4个序列薄层；数据形态：以3D体积数据为主，暂不涉及多模态融合（影像＋文本／基因等）形式。</w:t>
      </w:r>
    </w:p>
    <w:p w14:paraId="21C14D8B" w14:textId="77777777" w:rsidR="00D15483" w:rsidRDefault="006E0AFE">
      <w:pPr>
        <w:widowControl w:val="0"/>
        <w:kinsoku/>
        <w:autoSpaceDE/>
        <w:autoSpaceDN/>
        <w:adjustRightInd/>
        <w:snapToGrid/>
        <w:ind w:firstLineChars="200" w:firstLine="640"/>
        <w:textAlignment w:val="auto"/>
        <w:rPr>
          <w:rFonts w:ascii="黑体" w:eastAsia="黑体" w:hAnsi="黑体" w:cs="黑体" w:hint="eastAsia"/>
          <w:kern w:val="2"/>
          <w:szCs w:val="32"/>
          <w:lang w:eastAsia="zh-CN"/>
        </w:rPr>
      </w:pPr>
      <w:r>
        <w:rPr>
          <w:rFonts w:ascii="黑体" w:eastAsia="黑体" w:hAnsi="黑体" w:cs="黑体" w:hint="eastAsia"/>
          <w:kern w:val="2"/>
          <w:szCs w:val="32"/>
          <w:lang w:eastAsia="zh-CN"/>
        </w:rPr>
        <w:t>十六、大赛是否提供甲状腺彩超图像，还是都是B超？是否有术后病理结果、病理结果？肿瘤分级是按照ACR-TIRADS还是C-TIRADS？主要是覆盖甲状腺哪些良恶性疾病？</w:t>
      </w:r>
    </w:p>
    <w:p w14:paraId="0FC8A0D2" w14:textId="77777777" w:rsidR="00D15483" w:rsidRDefault="006E0AFE">
      <w:pPr>
        <w:kinsoku/>
        <w:autoSpaceDE/>
        <w:autoSpaceDN/>
        <w:adjustRightInd/>
        <w:snapToGrid/>
        <w:ind w:firstLineChars="200" w:firstLine="640"/>
        <w:textAlignment w:val="auto"/>
        <w:rPr>
          <w:rFonts w:ascii="黑体" w:eastAsia="黑体" w:hAnsi="黑体" w:cs="黑体" w:hint="eastAsia"/>
          <w:kern w:val="2"/>
          <w:szCs w:val="32"/>
          <w:lang w:eastAsia="zh-CN"/>
        </w:rPr>
      </w:pPr>
      <w:r>
        <w:rPr>
          <w:rFonts w:ascii="仿宋_GB2312" w:eastAsia="仿宋_GB2312" w:hAnsi="仿宋_GB2312" w:cs="仿宋_GB2312" w:hint="eastAsia"/>
          <w:b/>
          <w:bCs/>
          <w:kern w:val="2"/>
          <w:szCs w:val="32"/>
          <w:lang w:eastAsia="zh-CN"/>
        </w:rPr>
        <w:t>答：</w:t>
      </w:r>
      <w:r>
        <w:rPr>
          <w:rFonts w:ascii="仿宋_GB2312" w:eastAsia="仿宋_GB2312" w:hAnsi="仿宋_GB2312" w:cs="仿宋_GB2312" w:hint="eastAsia"/>
          <w:szCs w:val="32"/>
          <w:lang w:eastAsia="zh-CN"/>
        </w:rPr>
        <w:t>甲状腺图像仅有二维超声图像，彩超会影响结节识别未纳入</w:t>
      </w:r>
      <w:r>
        <w:rPr>
          <w:rFonts w:ascii="仿宋_GB2312" w:hAnsi="仿宋_GB2312" w:cs="仿宋_GB2312" w:hint="eastAsia"/>
          <w:szCs w:val="32"/>
          <w:lang w:eastAsia="zh-CN"/>
        </w:rPr>
        <w:t>。</w:t>
      </w:r>
      <w:r>
        <w:rPr>
          <w:rFonts w:ascii="仿宋_GB2312" w:eastAsia="仿宋_GB2312" w:hAnsi="仿宋_GB2312" w:cs="仿宋_GB2312" w:hint="eastAsia"/>
          <w:szCs w:val="32"/>
          <w:lang w:eastAsia="zh-CN"/>
        </w:rPr>
        <w:t>凡是ACRTIRADS三类以上结节均有病理证实，微小癌需要病理证实</w:t>
      </w:r>
      <w:r>
        <w:rPr>
          <w:rFonts w:ascii="仿宋_GB2312" w:hAnsi="仿宋_GB2312" w:cs="仿宋_GB2312" w:hint="eastAsia"/>
          <w:szCs w:val="32"/>
          <w:lang w:eastAsia="zh-CN"/>
        </w:rPr>
        <w:t>。</w:t>
      </w:r>
      <w:r>
        <w:rPr>
          <w:rFonts w:ascii="仿宋_GB2312" w:eastAsia="仿宋_GB2312" w:hAnsi="仿宋_GB2312" w:cs="仿宋_GB2312" w:hint="eastAsia"/>
          <w:szCs w:val="32"/>
          <w:lang w:eastAsia="zh-CN"/>
        </w:rPr>
        <w:t>具体病理分型没有进一步分开，只有良性、恶性、无结节阴性三类。</w:t>
      </w:r>
    </w:p>
    <w:p w14:paraId="1ECE4B2B" w14:textId="77777777" w:rsidR="00D15483" w:rsidRDefault="006E0AFE">
      <w:pPr>
        <w:widowControl w:val="0"/>
        <w:kinsoku/>
        <w:autoSpaceDE/>
        <w:autoSpaceDN/>
        <w:adjustRightInd/>
        <w:snapToGrid/>
        <w:ind w:firstLineChars="200" w:firstLine="640"/>
        <w:textAlignment w:val="auto"/>
        <w:rPr>
          <w:rFonts w:ascii="黑体" w:eastAsia="黑体" w:hAnsi="黑体" w:cs="黑体" w:hint="eastAsia"/>
          <w:szCs w:val="32"/>
          <w:lang w:eastAsia="zh-CN"/>
        </w:rPr>
      </w:pPr>
      <w:r>
        <w:rPr>
          <w:rFonts w:ascii="黑体" w:eastAsia="黑体" w:hAnsi="黑体" w:cs="黑体" w:hint="eastAsia"/>
          <w:kern w:val="2"/>
          <w:szCs w:val="32"/>
          <w:lang w:eastAsia="zh-CN"/>
        </w:rPr>
        <w:t>十七、</w:t>
      </w:r>
      <w:r>
        <w:rPr>
          <w:rFonts w:ascii="黑体" w:eastAsia="黑体" w:hAnsi="黑体" w:cs="黑体" w:hint="eastAsia"/>
          <w:szCs w:val="32"/>
          <w:lang w:eastAsia="zh-CN"/>
        </w:rPr>
        <w:t>此外，当遇到无法短期解决的技术难题时，组委会是否提供备用算力环境或专家支持？能否为队伍提供过往成功的迁移案例作为参考，帮助我们评估开发风险？</w:t>
      </w:r>
    </w:p>
    <w:p w14:paraId="6B2670E8" w14:textId="77777777" w:rsidR="00D15483" w:rsidRDefault="006E0AFE">
      <w:pPr>
        <w:widowControl w:val="0"/>
        <w:kinsoku/>
        <w:autoSpaceDE/>
        <w:autoSpaceDN/>
        <w:adjustRightInd/>
        <w:snapToGrid/>
        <w:ind w:firstLineChars="200" w:firstLine="640"/>
        <w:textAlignment w:val="auto"/>
        <w:rPr>
          <w:rFonts w:ascii="仿宋_GB2312" w:eastAsia="仿宋_GB2312" w:hAnsi="仿宋_GB2312" w:cs="仿宋_GB2312" w:hint="eastAsia"/>
          <w:szCs w:val="32"/>
          <w:lang w:eastAsia="zh-CN"/>
        </w:rPr>
      </w:pPr>
      <w:r>
        <w:rPr>
          <w:rFonts w:ascii="仿宋_GB2312" w:eastAsia="仿宋_GB2312" w:hAnsi="仿宋_GB2312" w:cs="仿宋_GB2312" w:hint="eastAsia"/>
          <w:b/>
          <w:bCs/>
          <w:szCs w:val="32"/>
        </w:rPr>
        <w:t>答：</w:t>
      </w:r>
      <w:r>
        <w:rPr>
          <w:rFonts w:ascii="仿宋_GB2312" w:eastAsia="仿宋_GB2312" w:hAnsi="仿宋_GB2312" w:cs="仿宋_GB2312" w:hint="eastAsia"/>
          <w:szCs w:val="32"/>
        </w:rPr>
        <w:t>可提供通用算力支持。</w:t>
      </w:r>
      <w:r>
        <w:rPr>
          <w:rFonts w:ascii="仿宋_GB2312" w:eastAsia="仿宋_GB2312" w:hAnsi="仿宋_GB2312" w:cs="仿宋_GB2312" w:hint="eastAsia"/>
          <w:szCs w:val="32"/>
          <w:lang w:eastAsia="zh-CN"/>
        </w:rPr>
        <w:t>暂时没有迁移案例可参考。</w:t>
      </w:r>
    </w:p>
    <w:p w14:paraId="3CC66EA4" w14:textId="77777777" w:rsidR="00D15483" w:rsidRDefault="006E0AFE">
      <w:pPr>
        <w:widowControl w:val="0"/>
        <w:kinsoku/>
        <w:autoSpaceDE/>
        <w:autoSpaceDN/>
        <w:adjustRightInd/>
        <w:snapToGrid/>
        <w:ind w:firstLineChars="200" w:firstLine="640"/>
        <w:textAlignment w:val="auto"/>
        <w:rPr>
          <w:rFonts w:ascii="黑体" w:eastAsia="黑体" w:hAnsi="黑体" w:cs="黑体" w:hint="eastAsia"/>
          <w:szCs w:val="32"/>
          <w:lang w:eastAsia="zh-CN"/>
        </w:rPr>
      </w:pPr>
      <w:r>
        <w:rPr>
          <w:rFonts w:ascii="黑体" w:eastAsia="黑体" w:hAnsi="黑体" w:cs="黑体" w:hint="eastAsia"/>
          <w:szCs w:val="32"/>
          <w:lang w:eastAsia="zh-CN"/>
        </w:rPr>
        <w:t>十八、针对提交的模型权重文件，主办方是否构建了从静态存储加密、运行时内存防Dump，到抗逆向结构混淆及模型水印追</w:t>
      </w:r>
      <w:r>
        <w:rPr>
          <w:rFonts w:ascii="黑体" w:eastAsia="黑体" w:hAnsi="黑体" w:cs="黑体" w:hint="eastAsia"/>
          <w:szCs w:val="32"/>
          <w:lang w:eastAsia="zh-CN"/>
        </w:rPr>
        <w:lastRenderedPageBreak/>
        <w:t>溯的纵深防御体系？具体而言，平台如何有效防御模型萃取、反编译及侧信道攻击，从而确保参赛队伍的核心算法资产不被窃取或非法复用？</w:t>
      </w:r>
    </w:p>
    <w:p w14:paraId="238F54E2" w14:textId="77777777" w:rsidR="00D15483" w:rsidRDefault="006E0AFE">
      <w:pPr>
        <w:widowControl w:val="0"/>
        <w:kinsoku/>
        <w:autoSpaceDE/>
        <w:autoSpaceDN/>
        <w:adjustRightInd/>
        <w:snapToGrid/>
        <w:ind w:firstLineChars="200" w:firstLine="640"/>
        <w:textAlignment w:val="auto"/>
        <w:rPr>
          <w:rFonts w:ascii="仿宋_GB2312" w:eastAsia="仿宋_GB2312" w:hAnsi="仿宋_GB2312" w:cs="仿宋_GB2312" w:hint="eastAsia"/>
          <w:szCs w:val="32"/>
          <w:lang w:eastAsia="zh-CN"/>
        </w:rPr>
      </w:pPr>
      <w:r>
        <w:rPr>
          <w:rFonts w:ascii="仿宋_GB2312" w:eastAsia="仿宋_GB2312" w:hAnsi="仿宋_GB2312" w:cs="仿宋_GB2312" w:hint="eastAsia"/>
          <w:b/>
          <w:bCs/>
          <w:szCs w:val="32"/>
          <w:lang w:eastAsia="zh-CN"/>
        </w:rPr>
        <w:t>答：</w:t>
      </w:r>
      <w:r>
        <w:rPr>
          <w:rFonts w:ascii="仿宋_GB2312" w:eastAsia="仿宋_GB2312" w:hAnsi="仿宋_GB2312" w:cs="仿宋_GB2312" w:hint="eastAsia"/>
          <w:szCs w:val="32"/>
          <w:lang w:eastAsia="zh-CN"/>
        </w:rPr>
        <w:t>赛前，各赛队签订具有法律效力的协议，明确比赛知识产权归属。建立7*24小时“技防+人防”专业安全防护体系，多次进行攻防演练，完善攻击应对预案。赛中，比赛空间基于封闭的可信数据空间进行，数据只进不出，平台满足国家等保3级要求，各队伍分配专属私有比赛空间，比赛期间参赛队伍上传的自有模型和编写的代码仅在分配的沙箱环境内受保护运行，禁止任何未经授权的非法操作（包括平台管理员），保障代码、模型、数据独享不泄漏。赛后，专属空间将按规程进行安全销毁，确保比赛数据不留档。</w:t>
      </w:r>
    </w:p>
    <w:p w14:paraId="4CB82AA2" w14:textId="77777777" w:rsidR="00D15483" w:rsidRDefault="006E0AFE">
      <w:pPr>
        <w:widowControl w:val="0"/>
        <w:kinsoku/>
        <w:autoSpaceDE/>
        <w:autoSpaceDN/>
        <w:adjustRightInd/>
        <w:snapToGrid/>
        <w:ind w:firstLineChars="200" w:firstLine="640"/>
        <w:textAlignment w:val="auto"/>
        <w:rPr>
          <w:rFonts w:ascii="黑体" w:eastAsia="黑体" w:hAnsi="黑体" w:cs="黑体" w:hint="eastAsia"/>
          <w:szCs w:val="32"/>
          <w:lang w:eastAsia="zh-CN"/>
        </w:rPr>
      </w:pPr>
      <w:r>
        <w:rPr>
          <w:rFonts w:ascii="黑体" w:eastAsia="黑体" w:hAnsi="黑体" w:cs="黑体" w:hint="eastAsia"/>
          <w:kern w:val="2"/>
          <w:szCs w:val="32"/>
          <w:lang w:eastAsia="zh-CN"/>
        </w:rPr>
        <w:t>十九、</w:t>
      </w:r>
      <w:r>
        <w:rPr>
          <w:rFonts w:ascii="黑体" w:eastAsia="黑体" w:hAnsi="黑体" w:cs="黑体" w:hint="eastAsia"/>
          <w:szCs w:val="32"/>
          <w:lang w:eastAsia="zh-CN"/>
        </w:rPr>
        <w:t>报名审核预计是什么时候通过？</w:t>
      </w:r>
    </w:p>
    <w:p w14:paraId="50485C19" w14:textId="77777777" w:rsidR="00D15483" w:rsidRDefault="006E0AFE">
      <w:pPr>
        <w:widowControl w:val="0"/>
        <w:kinsoku/>
        <w:autoSpaceDE/>
        <w:autoSpaceDN/>
        <w:adjustRightInd/>
        <w:snapToGrid/>
        <w:ind w:firstLineChars="200" w:firstLine="640"/>
        <w:textAlignment w:val="auto"/>
        <w:rPr>
          <w:rFonts w:ascii="黑体" w:eastAsia="黑体" w:hAnsi="黑体" w:cs="黑体" w:hint="eastAsia"/>
          <w:szCs w:val="32"/>
          <w:lang w:eastAsia="zh-CN"/>
        </w:rPr>
      </w:pPr>
      <w:r>
        <w:rPr>
          <w:rFonts w:ascii="仿宋_GB2312" w:eastAsia="仿宋_GB2312" w:hAnsi="仿宋_GB2312" w:cs="仿宋_GB2312" w:hint="eastAsia"/>
          <w:b/>
          <w:bCs/>
          <w:szCs w:val="32"/>
          <w:lang w:eastAsia="zh-CN"/>
        </w:rPr>
        <w:t>答：</w:t>
      </w:r>
      <w:r>
        <w:rPr>
          <w:rFonts w:ascii="仿宋_GB2312" w:eastAsia="仿宋_GB2312" w:hAnsi="仿宋_GB2312" w:cs="仿宋_GB2312" w:hint="eastAsia"/>
          <w:szCs w:val="32"/>
          <w:lang w:eastAsia="zh-CN"/>
        </w:rPr>
        <w:t>报名审核工作正在有序推进中，我们将根据报名顺序统一安排审核。审核结果将通过短信或邮件形式通知报名人，请耐心等待并保持通讯畅通。</w:t>
      </w:r>
    </w:p>
    <w:p w14:paraId="0301FD5B" w14:textId="77777777" w:rsidR="00D15483" w:rsidRDefault="006E0AFE">
      <w:pPr>
        <w:widowControl w:val="0"/>
        <w:kinsoku/>
        <w:autoSpaceDE/>
        <w:autoSpaceDN/>
        <w:adjustRightInd/>
        <w:snapToGrid/>
        <w:ind w:firstLineChars="200" w:firstLine="640"/>
        <w:textAlignment w:val="auto"/>
        <w:rPr>
          <w:rFonts w:ascii="黑体" w:eastAsia="黑体" w:hAnsi="黑体" w:cs="黑体" w:hint="eastAsia"/>
          <w:kern w:val="2"/>
          <w:szCs w:val="32"/>
          <w:lang w:eastAsia="zh-CN"/>
        </w:rPr>
      </w:pPr>
      <w:r>
        <w:rPr>
          <w:rFonts w:ascii="黑体" w:eastAsia="黑体" w:hAnsi="黑体" w:cs="黑体" w:hint="eastAsia"/>
          <w:kern w:val="2"/>
          <w:szCs w:val="32"/>
          <w:lang w:eastAsia="zh-CN"/>
        </w:rPr>
        <w:t>二十、同一队伍是否能够同时参加多个赛道？</w:t>
      </w:r>
    </w:p>
    <w:p w14:paraId="7E615077" w14:textId="77777777" w:rsidR="00D15483" w:rsidRDefault="006E0AFE">
      <w:pPr>
        <w:widowControl w:val="0"/>
        <w:kinsoku/>
        <w:autoSpaceDE/>
        <w:autoSpaceDN/>
        <w:adjustRightInd/>
        <w:snapToGrid/>
        <w:ind w:firstLineChars="200" w:firstLine="640"/>
        <w:textAlignment w:val="auto"/>
        <w:rPr>
          <w:rFonts w:ascii="仿宋_GB2312" w:eastAsia="仿宋_GB2312" w:hAnsi="仿宋_GB2312" w:cs="仿宋_GB2312" w:hint="eastAsia"/>
          <w:szCs w:val="32"/>
          <w:lang w:eastAsia="zh-CN"/>
        </w:rPr>
      </w:pPr>
      <w:r>
        <w:rPr>
          <w:rFonts w:ascii="仿宋_GB2312" w:eastAsia="仿宋_GB2312" w:hAnsi="仿宋_GB2312" w:cs="仿宋_GB2312" w:hint="eastAsia"/>
          <w:b/>
          <w:bCs/>
          <w:szCs w:val="32"/>
          <w:lang w:eastAsia="zh-CN"/>
        </w:rPr>
        <w:t>答：</w:t>
      </w:r>
      <w:r>
        <w:rPr>
          <w:rFonts w:ascii="仿宋_GB2312" w:eastAsia="仿宋_GB2312" w:hAnsi="仿宋_GB2312" w:cs="仿宋_GB2312" w:hint="eastAsia"/>
          <w:szCs w:val="32"/>
          <w:lang w:eastAsia="zh-CN"/>
        </w:rPr>
        <w:t>同一单位可组建多支队伍参赛，同一支队伍可同时报名参与多个赛道，同一赛道仅限选择一个分组参赛。</w:t>
      </w:r>
    </w:p>
    <w:p w14:paraId="7658DF37" w14:textId="77777777" w:rsidR="00D15483" w:rsidRDefault="006E0AFE">
      <w:pPr>
        <w:widowControl w:val="0"/>
        <w:kinsoku/>
        <w:autoSpaceDE/>
        <w:autoSpaceDN/>
        <w:adjustRightInd/>
        <w:snapToGrid/>
        <w:ind w:firstLineChars="200" w:firstLine="640"/>
        <w:textAlignment w:val="auto"/>
        <w:rPr>
          <w:rFonts w:ascii="黑体" w:eastAsia="黑体" w:hAnsi="黑体" w:cs="黑体" w:hint="eastAsia"/>
          <w:kern w:val="2"/>
          <w:szCs w:val="32"/>
          <w:lang w:eastAsia="zh-CN"/>
        </w:rPr>
      </w:pPr>
      <w:r>
        <w:rPr>
          <w:rFonts w:ascii="黑体" w:eastAsia="黑体" w:hAnsi="黑体" w:cs="黑体" w:hint="eastAsia"/>
          <w:kern w:val="2"/>
          <w:szCs w:val="32"/>
          <w:lang w:eastAsia="zh-CN"/>
        </w:rPr>
        <w:t>二十一、参赛报名信息提交后是否能变更成员，怎么变更？</w:t>
      </w:r>
    </w:p>
    <w:p w14:paraId="4A7826CF" w14:textId="77777777" w:rsidR="00D15483" w:rsidRDefault="006E0AFE">
      <w:pPr>
        <w:widowControl w:val="0"/>
        <w:kinsoku/>
        <w:autoSpaceDE/>
        <w:autoSpaceDN/>
        <w:adjustRightInd/>
        <w:snapToGrid/>
        <w:ind w:firstLineChars="200" w:firstLine="640"/>
        <w:textAlignment w:val="auto"/>
        <w:rPr>
          <w:rFonts w:ascii="仿宋_GB2312" w:eastAsia="仿宋_GB2312" w:hAnsi="仿宋_GB2312" w:cs="仿宋_GB2312" w:hint="eastAsia"/>
          <w:kern w:val="2"/>
          <w:szCs w:val="32"/>
          <w:lang w:eastAsia="zh-CN"/>
        </w:rPr>
      </w:pPr>
      <w:r>
        <w:rPr>
          <w:rFonts w:ascii="仿宋_GB2312" w:eastAsia="仿宋_GB2312" w:hAnsi="仿宋_GB2312" w:cs="仿宋_GB2312" w:hint="eastAsia"/>
          <w:b/>
          <w:bCs/>
          <w:szCs w:val="32"/>
          <w:lang w:eastAsia="zh-CN"/>
        </w:rPr>
        <w:lastRenderedPageBreak/>
        <w:t>答：</w:t>
      </w:r>
      <w:r>
        <w:rPr>
          <w:rFonts w:ascii="仿宋_GB2312" w:eastAsia="仿宋_GB2312" w:hAnsi="仿宋_GB2312" w:cs="仿宋_GB2312" w:hint="eastAsia"/>
          <w:szCs w:val="32"/>
          <w:lang w:eastAsia="zh-CN"/>
        </w:rPr>
        <w:t>参赛队伍可在参赛报名功能模块中，自主撤回已提交的报名信息，调整团队成员信息，修改完成后可重新提交审核。</w:t>
      </w:r>
    </w:p>
    <w:p w14:paraId="7E75A757" w14:textId="77777777" w:rsidR="00D15483" w:rsidRDefault="006E0AFE">
      <w:pPr>
        <w:widowControl w:val="0"/>
        <w:kinsoku/>
        <w:autoSpaceDE/>
        <w:autoSpaceDN/>
        <w:adjustRightInd/>
        <w:snapToGrid/>
        <w:ind w:firstLineChars="200" w:firstLine="640"/>
        <w:textAlignment w:val="auto"/>
        <w:rPr>
          <w:rFonts w:ascii="黑体" w:eastAsia="黑体" w:hAnsi="黑体" w:cs="黑体" w:hint="eastAsia"/>
          <w:kern w:val="2"/>
          <w:szCs w:val="32"/>
          <w:lang w:eastAsia="zh-CN"/>
        </w:rPr>
      </w:pPr>
      <w:r>
        <w:rPr>
          <w:rFonts w:ascii="黑体" w:eastAsia="黑体" w:hAnsi="黑体" w:cs="黑体" w:hint="eastAsia"/>
          <w:kern w:val="2"/>
          <w:szCs w:val="32"/>
          <w:lang w:eastAsia="zh-CN"/>
        </w:rPr>
        <w:t>二十二、团队成员为应届毕业人员入职就业，无法提供社保缴交证明如何处理？</w:t>
      </w:r>
    </w:p>
    <w:p w14:paraId="02A1B423" w14:textId="77777777" w:rsidR="00D15483" w:rsidRDefault="006E0AFE">
      <w:pPr>
        <w:widowControl w:val="0"/>
        <w:kinsoku/>
        <w:autoSpaceDE/>
        <w:autoSpaceDN/>
        <w:adjustRightInd/>
        <w:snapToGrid/>
        <w:ind w:firstLineChars="200" w:firstLine="640"/>
        <w:textAlignment w:val="auto"/>
        <w:rPr>
          <w:rFonts w:ascii="仿宋_GB2312" w:eastAsia="仿宋_GB2312" w:hAnsi="仿宋_GB2312" w:cs="仿宋_GB2312" w:hint="eastAsia"/>
          <w:kern w:val="2"/>
          <w:szCs w:val="32"/>
          <w:lang w:eastAsia="zh-CN"/>
        </w:rPr>
      </w:pPr>
      <w:r>
        <w:rPr>
          <w:rFonts w:ascii="仿宋_GB2312" w:eastAsia="仿宋_GB2312" w:hAnsi="仿宋_GB2312" w:cs="仿宋_GB2312" w:hint="eastAsia"/>
          <w:b/>
          <w:bCs/>
          <w:szCs w:val="32"/>
          <w:lang w:eastAsia="zh-CN"/>
        </w:rPr>
        <w:t>答：</w:t>
      </w:r>
      <w:r>
        <w:rPr>
          <w:rFonts w:ascii="仿宋_GB2312" w:eastAsia="仿宋_GB2312" w:hAnsi="仿宋_GB2312" w:cs="仿宋_GB2312" w:hint="eastAsia"/>
          <w:szCs w:val="32"/>
          <w:lang w:eastAsia="zh-CN"/>
        </w:rPr>
        <w:t>团队成员若为应届毕业人员入职就业的，可提供毕业证、劳动合同或1个月社保缴纳证明作为佐证材料。</w:t>
      </w:r>
    </w:p>
    <w:p w14:paraId="10885C30" w14:textId="77777777" w:rsidR="00D15483" w:rsidRDefault="006E0AFE">
      <w:pPr>
        <w:widowControl w:val="0"/>
        <w:kinsoku/>
        <w:autoSpaceDE/>
        <w:autoSpaceDN/>
        <w:adjustRightInd/>
        <w:snapToGrid/>
        <w:ind w:firstLineChars="200" w:firstLine="640"/>
        <w:textAlignment w:val="auto"/>
        <w:rPr>
          <w:rFonts w:ascii="黑体" w:eastAsia="黑体" w:hAnsi="黑体" w:cs="黑体" w:hint="eastAsia"/>
          <w:kern w:val="2"/>
          <w:szCs w:val="32"/>
          <w:lang w:eastAsia="zh-CN"/>
        </w:rPr>
      </w:pPr>
      <w:r>
        <w:rPr>
          <w:rFonts w:ascii="黑体" w:eastAsia="黑体" w:hAnsi="黑体" w:cs="黑体" w:hint="eastAsia"/>
          <w:kern w:val="2"/>
          <w:szCs w:val="32"/>
          <w:lang w:eastAsia="zh-CN"/>
        </w:rPr>
        <w:t>二十三、注册账号时一直显示注册失败，该怎么解决？</w:t>
      </w:r>
    </w:p>
    <w:p w14:paraId="5A455D21" w14:textId="77777777" w:rsidR="00D15483" w:rsidRDefault="006E0AFE">
      <w:pPr>
        <w:widowControl w:val="0"/>
        <w:kinsoku/>
        <w:autoSpaceDE/>
        <w:autoSpaceDN/>
        <w:adjustRightInd/>
        <w:snapToGrid/>
        <w:ind w:firstLineChars="200" w:firstLine="640"/>
        <w:textAlignment w:val="auto"/>
        <w:rPr>
          <w:rFonts w:ascii="仿宋_GB2312" w:eastAsia="仿宋_GB2312" w:hAnsi="仿宋_GB2312" w:cs="仿宋_GB2312" w:hint="eastAsia"/>
          <w:kern w:val="2"/>
          <w:szCs w:val="32"/>
          <w:lang w:eastAsia="zh-CN"/>
        </w:rPr>
      </w:pPr>
      <w:r>
        <w:rPr>
          <w:rFonts w:ascii="仿宋_GB2312" w:eastAsia="仿宋_GB2312" w:hAnsi="仿宋_GB2312" w:cs="仿宋_GB2312" w:hint="eastAsia"/>
          <w:szCs w:val="32"/>
          <w:lang w:eastAsia="zh-CN"/>
        </w:rPr>
        <w:t>答：遇到注册失败问题，可在大赛官网首页查看并加入相应的官方QQ群，群内有技术人员提供实时咨询。注意事项：请确保填写的注册信息真实有效、格式正确，避免使用特殊字符，建议更换浏览器或清除缓存后重新尝试。</w:t>
      </w:r>
    </w:p>
    <w:p w14:paraId="3212949B" w14:textId="77777777" w:rsidR="00D15483" w:rsidRDefault="00D15483">
      <w:pPr>
        <w:widowControl w:val="0"/>
        <w:kinsoku/>
        <w:autoSpaceDE/>
        <w:autoSpaceDN/>
        <w:adjustRightInd/>
        <w:snapToGrid/>
        <w:ind w:firstLineChars="200" w:firstLine="640"/>
        <w:textAlignment w:val="auto"/>
        <w:rPr>
          <w:rFonts w:ascii="仿宋_GB2312" w:eastAsia="仿宋_GB2312" w:hAnsi="仿宋_GB2312" w:cs="仿宋_GB2312" w:hint="eastAsia"/>
          <w:szCs w:val="32"/>
          <w:lang w:eastAsia="zh-CN"/>
        </w:rPr>
      </w:pPr>
    </w:p>
    <w:p w14:paraId="0DDBBB14" w14:textId="77777777" w:rsidR="00D15483" w:rsidRDefault="00D15483">
      <w:pPr>
        <w:widowControl w:val="0"/>
        <w:kinsoku/>
        <w:autoSpaceDE/>
        <w:autoSpaceDN/>
        <w:adjustRightInd/>
        <w:snapToGrid/>
        <w:ind w:firstLineChars="200" w:firstLine="640"/>
        <w:textAlignment w:val="auto"/>
        <w:rPr>
          <w:rFonts w:ascii="仿宋_GB2312" w:eastAsia="仿宋_GB2312" w:hAnsi="仿宋_GB2312" w:cs="仿宋_GB2312" w:hint="eastAsia"/>
          <w:szCs w:val="32"/>
          <w:lang w:eastAsia="zh-CN"/>
        </w:rPr>
      </w:pPr>
    </w:p>
    <w:p w14:paraId="41A4ADA8" w14:textId="77777777" w:rsidR="00D15483" w:rsidRDefault="00D15483">
      <w:pPr>
        <w:widowControl w:val="0"/>
        <w:kinsoku/>
        <w:autoSpaceDE/>
        <w:autoSpaceDN/>
        <w:adjustRightInd/>
        <w:snapToGrid/>
        <w:ind w:firstLineChars="200" w:firstLine="640"/>
        <w:textAlignment w:val="auto"/>
        <w:rPr>
          <w:rFonts w:ascii="仿宋_GB2312" w:eastAsia="仿宋_GB2312" w:hAnsi="仿宋_GB2312" w:cs="仿宋_GB2312" w:hint="eastAsia"/>
          <w:szCs w:val="32"/>
          <w:lang w:eastAsia="zh-CN"/>
        </w:rPr>
      </w:pPr>
    </w:p>
    <w:p w14:paraId="65A6D321" w14:textId="77777777" w:rsidR="00D15483" w:rsidRDefault="00D15483">
      <w:pPr>
        <w:widowControl w:val="0"/>
        <w:kinsoku/>
        <w:autoSpaceDE/>
        <w:autoSpaceDN/>
        <w:adjustRightInd/>
        <w:snapToGrid/>
        <w:ind w:firstLineChars="200" w:firstLine="640"/>
        <w:textAlignment w:val="auto"/>
        <w:rPr>
          <w:rFonts w:ascii="仿宋_GB2312" w:eastAsia="仿宋_GB2312" w:hAnsi="仿宋_GB2312" w:cs="仿宋_GB2312" w:hint="eastAsia"/>
          <w:szCs w:val="32"/>
          <w:lang w:eastAsia="zh-CN"/>
        </w:rPr>
      </w:pPr>
    </w:p>
    <w:p w14:paraId="4BFE95AB" w14:textId="77777777" w:rsidR="00D15483" w:rsidRDefault="00D15483">
      <w:pPr>
        <w:widowControl w:val="0"/>
        <w:kinsoku/>
        <w:autoSpaceDE/>
        <w:autoSpaceDN/>
        <w:adjustRightInd/>
        <w:snapToGrid/>
        <w:ind w:firstLineChars="200" w:firstLine="640"/>
        <w:textAlignment w:val="auto"/>
        <w:rPr>
          <w:rFonts w:ascii="仿宋_GB2312" w:eastAsia="仿宋_GB2312" w:hAnsi="仿宋_GB2312" w:cs="仿宋_GB2312" w:hint="eastAsia"/>
          <w:szCs w:val="32"/>
          <w:lang w:eastAsia="zh-CN"/>
        </w:rPr>
      </w:pPr>
    </w:p>
    <w:p w14:paraId="00C0A48E" w14:textId="77777777" w:rsidR="00D15483" w:rsidRDefault="00D15483">
      <w:pPr>
        <w:widowControl w:val="0"/>
        <w:kinsoku/>
        <w:autoSpaceDE/>
        <w:autoSpaceDN/>
        <w:adjustRightInd/>
        <w:snapToGrid/>
        <w:ind w:firstLineChars="200" w:firstLine="640"/>
        <w:textAlignment w:val="auto"/>
        <w:rPr>
          <w:rFonts w:ascii="仿宋_GB2312" w:eastAsia="仿宋_GB2312" w:hAnsi="仿宋_GB2312" w:cs="仿宋_GB2312" w:hint="eastAsia"/>
          <w:szCs w:val="32"/>
          <w:lang w:eastAsia="zh-CN"/>
        </w:rPr>
      </w:pPr>
    </w:p>
    <w:p w14:paraId="7975907B" w14:textId="77777777" w:rsidR="00D12EEC" w:rsidRDefault="00D12EEC">
      <w:pPr>
        <w:kinsoku/>
        <w:autoSpaceDE/>
        <w:autoSpaceDN/>
        <w:adjustRightInd/>
        <w:snapToGrid/>
        <w:spacing w:after="0" w:line="240" w:lineRule="auto"/>
        <w:jc w:val="left"/>
        <w:textAlignment w:val="auto"/>
        <w:rPr>
          <w:rFonts w:ascii="仿宋_GB2312" w:eastAsia="仿宋_GB2312" w:hAnsi="仿宋_GB2312" w:cs="仿宋_GB2312" w:hint="eastAsia"/>
          <w:szCs w:val="32"/>
          <w:lang w:eastAsia="zh-CN"/>
        </w:rPr>
      </w:pPr>
      <w:r>
        <w:rPr>
          <w:rFonts w:ascii="仿宋_GB2312" w:eastAsia="仿宋_GB2312" w:hAnsi="仿宋_GB2312" w:cs="仿宋_GB2312"/>
          <w:szCs w:val="32"/>
          <w:lang w:eastAsia="zh-CN"/>
        </w:rPr>
        <w:br w:type="page"/>
      </w:r>
    </w:p>
    <w:p w14:paraId="2E34C808" w14:textId="77777777" w:rsidR="00D15483" w:rsidRDefault="006E0AFE">
      <w:pPr>
        <w:spacing w:after="160" w:line="276" w:lineRule="auto"/>
        <w:jc w:val="center"/>
        <w:rPr>
          <w:rFonts w:eastAsia="宋体"/>
          <w:sz w:val="28"/>
          <w:szCs w:val="36"/>
          <w:lang w:eastAsia="zh-CN"/>
        </w:rPr>
      </w:pPr>
      <w:r>
        <w:rPr>
          <w:rFonts w:ascii="Times New Roman" w:eastAsia="Times New Roman" w:hAnsi="Times New Roman" w:cs="Times New Roman"/>
          <w:b/>
          <w:bCs/>
          <w:sz w:val="28"/>
          <w:szCs w:val="36"/>
        </w:rPr>
        <w:lastRenderedPageBreak/>
        <w:t>Responses to Questions of Participating Teams for the Medical Insurance Imaging AI Recognition Competition</w:t>
      </w:r>
      <w:r>
        <w:rPr>
          <w:rFonts w:ascii="Times New Roman" w:eastAsia="宋体" w:hAnsi="Times New Roman" w:cs="Times New Roman" w:hint="eastAsia"/>
          <w:b/>
          <w:bCs/>
          <w:sz w:val="28"/>
          <w:szCs w:val="36"/>
          <w:lang w:eastAsia="zh-CN"/>
        </w:rPr>
        <w:t xml:space="preserve"> </w:t>
      </w:r>
      <w:r>
        <w:rPr>
          <w:rFonts w:ascii="Times New Roman" w:eastAsia="宋体" w:hAnsi="Times New Roman" w:cs="Times New Roman" w:hint="eastAsia"/>
          <w:b/>
          <w:bCs/>
          <w:sz w:val="28"/>
          <w:szCs w:val="36"/>
          <w:lang w:eastAsia="zh-CN"/>
        </w:rPr>
        <w:t>（Ⅰ）</w:t>
      </w:r>
    </w:p>
    <w:p w14:paraId="39EA97F9" w14:textId="77777777" w:rsidR="00D15483" w:rsidRDefault="00D15483">
      <w:pPr>
        <w:spacing w:before="105" w:after="105" w:line="276" w:lineRule="auto"/>
        <w:jc w:val="left"/>
        <w:rPr>
          <w:sz w:val="28"/>
          <w:szCs w:val="28"/>
        </w:rPr>
      </w:pPr>
    </w:p>
    <w:p w14:paraId="77D506B7" w14:textId="77777777" w:rsidR="00D15483" w:rsidRDefault="006E0AFE">
      <w:pPr>
        <w:spacing w:after="40" w:line="276" w:lineRule="auto"/>
        <w:ind w:left="144"/>
        <w:jc w:val="left"/>
        <w:rPr>
          <w:sz w:val="28"/>
          <w:szCs w:val="28"/>
        </w:rPr>
      </w:pPr>
      <w:r>
        <w:rPr>
          <w:rFonts w:ascii="Times New Roman" w:eastAsia="Times New Roman" w:hAnsi="Times New Roman" w:cs="Times New Roman"/>
          <w:b/>
          <w:bCs/>
          <w:i/>
          <w:iCs/>
          <w:sz w:val="28"/>
          <w:szCs w:val="28"/>
        </w:rPr>
        <w:t>1. Will the weighting of each scoring indicator (such as accuracy and efficiency) and the specific scoring criteria be clearly disclosed before the evaluation?</w:t>
      </w:r>
    </w:p>
    <w:p w14:paraId="426FA3D3" w14:textId="77777777" w:rsidR="00D15483" w:rsidRDefault="006E0AFE">
      <w:pPr>
        <w:spacing w:after="80" w:line="276" w:lineRule="auto"/>
        <w:ind w:left="144"/>
        <w:jc w:val="left"/>
        <w:rPr>
          <w:sz w:val="28"/>
          <w:szCs w:val="28"/>
        </w:rPr>
      </w:pPr>
      <w:r>
        <w:rPr>
          <w:rFonts w:ascii="Times New Roman" w:eastAsia="Times New Roman" w:hAnsi="Times New Roman" w:cs="Times New Roman"/>
          <w:i/>
          <w:iCs/>
          <w:sz w:val="28"/>
          <w:szCs w:val="28"/>
        </w:rPr>
        <w:t>Answer: The organizing committee will disclose the complete scoring rules to participating teams before the competition begins.</w:t>
      </w:r>
    </w:p>
    <w:p w14:paraId="4FECAD8B" w14:textId="77777777" w:rsidR="00D15483" w:rsidRDefault="00D15483">
      <w:pPr>
        <w:spacing w:before="105" w:after="105" w:line="276" w:lineRule="auto"/>
        <w:jc w:val="left"/>
        <w:rPr>
          <w:sz w:val="28"/>
          <w:szCs w:val="28"/>
        </w:rPr>
      </w:pPr>
    </w:p>
    <w:p w14:paraId="45CA89CF" w14:textId="77777777" w:rsidR="00D15483" w:rsidRDefault="006E0AFE">
      <w:pPr>
        <w:spacing w:after="40" w:line="276" w:lineRule="auto"/>
        <w:ind w:left="144"/>
        <w:jc w:val="left"/>
        <w:rPr>
          <w:sz w:val="28"/>
          <w:szCs w:val="28"/>
        </w:rPr>
      </w:pPr>
      <w:r>
        <w:rPr>
          <w:rFonts w:ascii="Times New Roman" w:eastAsia="Times New Roman" w:hAnsi="Times New Roman" w:cs="Times New Roman"/>
          <w:b/>
          <w:bCs/>
          <w:i/>
          <w:iCs/>
          <w:sz w:val="28"/>
          <w:szCs w:val="28"/>
        </w:rPr>
        <w:t>2. Will subjective indicators such as “innovation” have specific scoring dimensions and grading standards, so as to avoid judges being overly influenced by personal impressions?</w:t>
      </w:r>
    </w:p>
    <w:p w14:paraId="06159BA6" w14:textId="77777777" w:rsidR="00D15483" w:rsidRDefault="006E0AFE">
      <w:pPr>
        <w:spacing w:after="80" w:line="276" w:lineRule="auto"/>
        <w:ind w:left="144"/>
        <w:jc w:val="left"/>
        <w:rPr>
          <w:sz w:val="28"/>
          <w:szCs w:val="28"/>
        </w:rPr>
      </w:pPr>
      <w:r>
        <w:rPr>
          <w:rFonts w:ascii="Times New Roman" w:eastAsia="Times New Roman" w:hAnsi="Times New Roman" w:cs="Times New Roman"/>
          <w:i/>
          <w:iCs/>
          <w:sz w:val="28"/>
          <w:szCs w:val="28"/>
        </w:rPr>
        <w:t>Answer: The organizing committee has established specific scoring dimensions and grading standards for all qualitative scoring indicators for reference by the evaluation experts.</w:t>
      </w:r>
    </w:p>
    <w:p w14:paraId="0600F3CB" w14:textId="77777777" w:rsidR="00D15483" w:rsidRDefault="00D15483">
      <w:pPr>
        <w:spacing w:before="105" w:after="105" w:line="276" w:lineRule="auto"/>
        <w:jc w:val="left"/>
        <w:rPr>
          <w:sz w:val="28"/>
          <w:szCs w:val="28"/>
        </w:rPr>
      </w:pPr>
    </w:p>
    <w:p w14:paraId="6D9566F8" w14:textId="77777777" w:rsidR="00D15483" w:rsidRDefault="006E0AFE">
      <w:pPr>
        <w:spacing w:after="40" w:line="276" w:lineRule="auto"/>
        <w:ind w:left="144"/>
        <w:jc w:val="left"/>
        <w:rPr>
          <w:sz w:val="28"/>
          <w:szCs w:val="28"/>
        </w:rPr>
      </w:pPr>
      <w:r>
        <w:rPr>
          <w:rFonts w:ascii="Times New Roman" w:eastAsia="Times New Roman" w:hAnsi="Times New Roman" w:cs="Times New Roman"/>
          <w:b/>
          <w:bCs/>
          <w:i/>
          <w:iCs/>
          <w:sz w:val="28"/>
          <w:szCs w:val="28"/>
        </w:rPr>
        <w:t>3. During the evaluation process, will judges be able to access team identity information, and will the submitted code be subject to strict anonymization?</w:t>
      </w:r>
    </w:p>
    <w:p w14:paraId="179C2917" w14:textId="77777777" w:rsidR="00D15483" w:rsidRDefault="006E0AFE">
      <w:pPr>
        <w:spacing w:after="80" w:line="276" w:lineRule="auto"/>
        <w:ind w:left="144"/>
        <w:jc w:val="left"/>
        <w:rPr>
          <w:sz w:val="28"/>
          <w:szCs w:val="28"/>
        </w:rPr>
      </w:pPr>
      <w:r>
        <w:rPr>
          <w:rFonts w:ascii="Times New Roman" w:eastAsia="Times New Roman" w:hAnsi="Times New Roman" w:cs="Times New Roman"/>
          <w:i/>
          <w:iCs/>
          <w:sz w:val="28"/>
          <w:szCs w:val="28"/>
        </w:rPr>
        <w:t>Answer: During the preliminary round, experts designated by the organizing committee will review the automated scoring results. In this process, the organizing committee will anonymize participating team information to ensure that experts cannot access team identities while reviewing scores. This stage does not involve code review, and evaluation experts will not be able to examine the model code. Teams advancing to the final round will be required to conduct on-site presentations, and evaluation experts will score them on-site. During this process, the experts may access relevant team information.</w:t>
      </w:r>
    </w:p>
    <w:p w14:paraId="5CE10788" w14:textId="77777777" w:rsidR="00D15483" w:rsidRDefault="00D15483">
      <w:pPr>
        <w:spacing w:before="105" w:after="105" w:line="276" w:lineRule="auto"/>
        <w:jc w:val="left"/>
        <w:rPr>
          <w:sz w:val="28"/>
          <w:szCs w:val="28"/>
        </w:rPr>
      </w:pPr>
    </w:p>
    <w:p w14:paraId="3FEAE4BE" w14:textId="77777777" w:rsidR="00D15483" w:rsidRDefault="006E0AFE">
      <w:pPr>
        <w:spacing w:after="40" w:line="276" w:lineRule="auto"/>
        <w:ind w:left="144"/>
        <w:jc w:val="left"/>
        <w:rPr>
          <w:sz w:val="28"/>
          <w:szCs w:val="28"/>
        </w:rPr>
      </w:pPr>
      <w:r>
        <w:rPr>
          <w:rFonts w:ascii="Times New Roman" w:eastAsia="Times New Roman" w:hAnsi="Times New Roman" w:cs="Times New Roman"/>
          <w:b/>
          <w:bCs/>
          <w:i/>
          <w:iCs/>
          <w:sz w:val="28"/>
          <w:szCs w:val="28"/>
        </w:rPr>
        <w:t>4. Will the judges’ professional backgrounds match the competition tasks, and will they be required to sign conflict-of-interest avoidance declarations?</w:t>
      </w:r>
    </w:p>
    <w:p w14:paraId="31561BED" w14:textId="77777777" w:rsidR="00D15483" w:rsidRDefault="006E0AFE">
      <w:pPr>
        <w:spacing w:after="80" w:line="276" w:lineRule="auto"/>
        <w:ind w:left="144"/>
        <w:jc w:val="left"/>
        <w:rPr>
          <w:sz w:val="28"/>
          <w:szCs w:val="28"/>
        </w:rPr>
      </w:pPr>
      <w:r>
        <w:rPr>
          <w:rFonts w:ascii="Times New Roman" w:eastAsia="Times New Roman" w:hAnsi="Times New Roman" w:cs="Times New Roman"/>
          <w:i/>
          <w:iCs/>
          <w:sz w:val="28"/>
          <w:szCs w:val="28"/>
        </w:rPr>
        <w:t>Answer: The organizing committee will assign evaluation experts whose professional backgrounds match each evaluation indicator. All evaluation experts are required to sign confidentiality agreements and conflict-of-interest avoidance declarations.</w:t>
      </w:r>
    </w:p>
    <w:p w14:paraId="4F7A10D7" w14:textId="77777777" w:rsidR="00D15483" w:rsidRDefault="00D15483">
      <w:pPr>
        <w:spacing w:before="105" w:after="105" w:line="276" w:lineRule="auto"/>
        <w:jc w:val="left"/>
        <w:rPr>
          <w:sz w:val="28"/>
          <w:szCs w:val="28"/>
        </w:rPr>
      </w:pPr>
    </w:p>
    <w:p w14:paraId="18E4D55C" w14:textId="77777777" w:rsidR="00D15483" w:rsidRDefault="006E0AFE">
      <w:pPr>
        <w:spacing w:after="40" w:line="276" w:lineRule="auto"/>
        <w:ind w:left="144"/>
        <w:jc w:val="left"/>
        <w:rPr>
          <w:sz w:val="28"/>
          <w:szCs w:val="28"/>
        </w:rPr>
      </w:pPr>
      <w:r>
        <w:rPr>
          <w:rFonts w:ascii="Times New Roman" w:eastAsia="Times New Roman" w:hAnsi="Times New Roman" w:cs="Times New Roman"/>
          <w:b/>
          <w:bCs/>
          <w:i/>
          <w:iCs/>
          <w:sz w:val="28"/>
          <w:szCs w:val="28"/>
        </w:rPr>
        <w:lastRenderedPageBreak/>
        <w:t>5. How will the organizer ensure that the reproduction environment is consistent with the environment used when the team submitted its model, and in the event of discrepancies in reproduction results, which result will prevail?</w:t>
      </w:r>
    </w:p>
    <w:p w14:paraId="1DD9E851" w14:textId="77777777" w:rsidR="00D15483" w:rsidRDefault="006E0AFE">
      <w:pPr>
        <w:spacing w:after="80" w:line="276" w:lineRule="auto"/>
        <w:ind w:left="144"/>
        <w:jc w:val="left"/>
        <w:rPr>
          <w:sz w:val="28"/>
          <w:szCs w:val="28"/>
        </w:rPr>
      </w:pPr>
      <w:r>
        <w:rPr>
          <w:rFonts w:ascii="Times New Roman" w:eastAsia="Times New Roman" w:hAnsi="Times New Roman" w:cs="Times New Roman"/>
          <w:i/>
          <w:iCs/>
          <w:sz w:val="28"/>
          <w:szCs w:val="28"/>
        </w:rPr>
        <w:t xml:space="preserve">Answer: For teams participating in the </w:t>
      </w:r>
      <w:r>
        <w:rPr>
          <w:rFonts w:ascii="Times New Roman" w:eastAsia="宋体" w:hAnsi="Times New Roman" w:cs="Times New Roman" w:hint="eastAsia"/>
          <w:i/>
          <w:iCs/>
          <w:sz w:val="28"/>
          <w:szCs w:val="28"/>
          <w:lang w:eastAsia="zh-CN"/>
        </w:rPr>
        <w:t>Pre-trained Model (self-owned)</w:t>
      </w:r>
      <w:r>
        <w:rPr>
          <w:rFonts w:ascii="Times New Roman" w:eastAsia="Times New Roman" w:hAnsi="Times New Roman" w:cs="Times New Roman"/>
          <w:i/>
          <w:iCs/>
          <w:sz w:val="28"/>
          <w:szCs w:val="28"/>
        </w:rPr>
        <w:t xml:space="preserve"> Group, the participating team will independently deploy its own model and corresponding model weights to the competition cloud platform and use the platform’s computing resources to complete model training, validation, and inference testing. For teams participating in the </w:t>
      </w:r>
      <w:r>
        <w:rPr>
          <w:rFonts w:ascii="Times New Roman" w:eastAsia="宋体" w:hAnsi="Times New Roman" w:cs="Times New Roman" w:hint="eastAsia"/>
          <w:i/>
          <w:iCs/>
          <w:sz w:val="28"/>
          <w:szCs w:val="28"/>
          <w:lang w:eastAsia="zh-CN"/>
        </w:rPr>
        <w:t>this group</w:t>
      </w:r>
      <w:r>
        <w:rPr>
          <w:rFonts w:ascii="Times New Roman" w:eastAsia="Times New Roman" w:hAnsi="Times New Roman" w:cs="Times New Roman"/>
          <w:i/>
          <w:iCs/>
          <w:sz w:val="28"/>
          <w:szCs w:val="28"/>
        </w:rPr>
        <w:t>, the participating team will use the relevant basic resources provided by the organizing committee on the competition cloud platform to build and modify the model and complete model training, validation, and inference testing. Therefore, throughout the competition, participating teams are responsible for matching their models with the computing environment provided by the competition to ensure that their models deliver authentic performance.</w:t>
      </w:r>
    </w:p>
    <w:p w14:paraId="4BB22040" w14:textId="77777777" w:rsidR="00D15483" w:rsidRDefault="00D15483">
      <w:pPr>
        <w:spacing w:before="105" w:after="105" w:line="276" w:lineRule="auto"/>
        <w:jc w:val="left"/>
        <w:rPr>
          <w:sz w:val="28"/>
          <w:szCs w:val="28"/>
        </w:rPr>
      </w:pPr>
    </w:p>
    <w:p w14:paraId="0B8C1344" w14:textId="77777777" w:rsidR="00D15483" w:rsidRDefault="006E0AFE">
      <w:pPr>
        <w:spacing w:after="40" w:line="276" w:lineRule="auto"/>
        <w:ind w:left="144"/>
        <w:jc w:val="left"/>
        <w:rPr>
          <w:sz w:val="28"/>
          <w:szCs w:val="28"/>
        </w:rPr>
      </w:pPr>
      <w:r>
        <w:rPr>
          <w:rFonts w:ascii="Times New Roman" w:eastAsia="Times New Roman" w:hAnsi="Times New Roman" w:cs="Times New Roman"/>
          <w:b/>
          <w:bCs/>
          <w:i/>
          <w:iCs/>
          <w:sz w:val="28"/>
          <w:szCs w:val="28"/>
        </w:rPr>
        <w:t>6. Will the final results include the detailed scoring items and comments for each team, and will teams be allowed to request access to their own detailed scoring information?</w:t>
      </w:r>
    </w:p>
    <w:p w14:paraId="17CBCD48" w14:textId="77777777" w:rsidR="00D15483" w:rsidRDefault="006E0AFE">
      <w:pPr>
        <w:spacing w:after="80" w:line="276" w:lineRule="auto"/>
        <w:ind w:left="144"/>
        <w:jc w:val="left"/>
        <w:rPr>
          <w:sz w:val="28"/>
          <w:szCs w:val="28"/>
        </w:rPr>
      </w:pPr>
      <w:r>
        <w:rPr>
          <w:rFonts w:ascii="Times New Roman" w:eastAsia="Times New Roman" w:hAnsi="Times New Roman" w:cs="Times New Roman"/>
          <w:i/>
          <w:iCs/>
          <w:sz w:val="28"/>
          <w:szCs w:val="28"/>
        </w:rPr>
        <w:t>Answer: During both the preliminary and final rounds, participating teams will be allowed to view their scores for each scoring indicator. This competition does not involve evaluation experts providing written comments to participating teams.</w:t>
      </w:r>
    </w:p>
    <w:p w14:paraId="008EF1C4" w14:textId="77777777" w:rsidR="00D15483" w:rsidRDefault="00D15483">
      <w:pPr>
        <w:spacing w:before="105" w:after="105" w:line="276" w:lineRule="auto"/>
        <w:jc w:val="left"/>
        <w:rPr>
          <w:sz w:val="28"/>
          <w:szCs w:val="28"/>
        </w:rPr>
      </w:pPr>
    </w:p>
    <w:p w14:paraId="06DD9EEF" w14:textId="77777777" w:rsidR="00D15483" w:rsidRDefault="006E0AFE">
      <w:pPr>
        <w:spacing w:after="40" w:line="276" w:lineRule="auto"/>
        <w:ind w:left="144"/>
        <w:jc w:val="left"/>
        <w:rPr>
          <w:sz w:val="28"/>
          <w:szCs w:val="28"/>
        </w:rPr>
      </w:pPr>
      <w:r>
        <w:rPr>
          <w:rFonts w:ascii="Times New Roman" w:eastAsia="Times New Roman" w:hAnsi="Times New Roman" w:cs="Times New Roman"/>
          <w:b/>
          <w:bCs/>
          <w:i/>
          <w:iCs/>
          <w:sz w:val="28"/>
          <w:szCs w:val="28"/>
        </w:rPr>
        <w:t>7. What is the specific appeal and review process? Will the review be conducted by the original evaluation panel or by an independent third party?</w:t>
      </w:r>
    </w:p>
    <w:p w14:paraId="7F26E92C" w14:textId="77777777" w:rsidR="00D15483" w:rsidRDefault="006E0AFE">
      <w:pPr>
        <w:spacing w:after="80" w:line="276" w:lineRule="auto"/>
        <w:ind w:left="144"/>
        <w:jc w:val="left"/>
        <w:rPr>
          <w:sz w:val="28"/>
          <w:szCs w:val="28"/>
        </w:rPr>
      </w:pPr>
      <w:r>
        <w:rPr>
          <w:rFonts w:ascii="Times New Roman" w:eastAsia="Times New Roman" w:hAnsi="Times New Roman" w:cs="Times New Roman"/>
          <w:i/>
          <w:iCs/>
          <w:sz w:val="28"/>
          <w:szCs w:val="28"/>
        </w:rPr>
        <w:t xml:space="preserve">Answer: For the appeal and arbitration process, please refer to the Rules for Appeal and Arbitration of the </w:t>
      </w:r>
      <w:r>
        <w:rPr>
          <w:rFonts w:ascii="Times New Roman" w:eastAsia="宋体" w:hAnsi="Times New Roman" w:cs="Times New Roman" w:hint="eastAsia"/>
          <w:i/>
          <w:iCs/>
          <w:sz w:val="28"/>
          <w:szCs w:val="28"/>
          <w:lang w:eastAsia="zh-CN"/>
        </w:rPr>
        <w:t>Healthcare Security AI Image Recognition Contest</w:t>
      </w:r>
      <w:r>
        <w:rPr>
          <w:rFonts w:ascii="Times New Roman" w:eastAsia="Times New Roman" w:hAnsi="Times New Roman" w:cs="Times New Roman"/>
          <w:i/>
          <w:iCs/>
          <w:sz w:val="28"/>
          <w:szCs w:val="28"/>
        </w:rPr>
        <w:t xml:space="preserve"> published by the organizing committee. The review will be conducted by experts who have not participated in either the evaluation or the arbitration.</w:t>
      </w:r>
    </w:p>
    <w:p w14:paraId="12CC4B17" w14:textId="77777777" w:rsidR="00D15483" w:rsidRDefault="00D15483">
      <w:pPr>
        <w:spacing w:before="105" w:after="105" w:line="276" w:lineRule="auto"/>
        <w:jc w:val="left"/>
        <w:rPr>
          <w:sz w:val="28"/>
          <w:szCs w:val="28"/>
        </w:rPr>
      </w:pPr>
    </w:p>
    <w:p w14:paraId="4269643B" w14:textId="77777777" w:rsidR="00D15483" w:rsidRDefault="006E0AFE">
      <w:pPr>
        <w:spacing w:after="40" w:line="276" w:lineRule="auto"/>
        <w:ind w:left="144"/>
        <w:jc w:val="left"/>
        <w:rPr>
          <w:sz w:val="28"/>
          <w:szCs w:val="28"/>
        </w:rPr>
      </w:pPr>
      <w:r>
        <w:rPr>
          <w:rFonts w:ascii="Times New Roman" w:eastAsia="Times New Roman" w:hAnsi="Times New Roman" w:cs="Times New Roman"/>
          <w:b/>
          <w:bCs/>
          <w:i/>
          <w:iCs/>
          <w:sz w:val="28"/>
          <w:szCs w:val="28"/>
        </w:rPr>
        <w:t>8. Will the participation agreement contain ambiguous clauses requiring us to transfer or permanently license the intellectual property rights of our model?</w:t>
      </w:r>
    </w:p>
    <w:p w14:paraId="60371215" w14:textId="77777777" w:rsidR="00D15483" w:rsidRDefault="006E0AFE">
      <w:pPr>
        <w:spacing w:after="80" w:line="276" w:lineRule="auto"/>
        <w:ind w:left="144"/>
        <w:jc w:val="left"/>
        <w:rPr>
          <w:sz w:val="28"/>
          <w:szCs w:val="28"/>
        </w:rPr>
      </w:pPr>
      <w:r>
        <w:rPr>
          <w:rFonts w:ascii="Times New Roman" w:eastAsia="Times New Roman" w:hAnsi="Times New Roman" w:cs="Times New Roman"/>
          <w:i/>
          <w:iCs/>
          <w:sz w:val="28"/>
          <w:szCs w:val="28"/>
        </w:rPr>
        <w:lastRenderedPageBreak/>
        <w:t>Answer: The organizing committee does not require participating teams to transfer or permanently license their models or related intellectual property rights, and the participation agreement contains no such transfer or permanent licensing clauses.</w:t>
      </w:r>
    </w:p>
    <w:p w14:paraId="3BBDA9FD" w14:textId="77777777" w:rsidR="00D15483" w:rsidRDefault="00D15483">
      <w:pPr>
        <w:spacing w:before="105" w:after="105" w:line="276" w:lineRule="auto"/>
        <w:jc w:val="left"/>
        <w:rPr>
          <w:sz w:val="28"/>
          <w:szCs w:val="28"/>
        </w:rPr>
      </w:pPr>
    </w:p>
    <w:p w14:paraId="762F1A23" w14:textId="77777777" w:rsidR="00D15483" w:rsidRDefault="006E0AFE">
      <w:pPr>
        <w:spacing w:after="40" w:line="276" w:lineRule="auto"/>
        <w:ind w:left="144"/>
        <w:jc w:val="left"/>
        <w:rPr>
          <w:sz w:val="28"/>
          <w:szCs w:val="28"/>
        </w:rPr>
      </w:pPr>
      <w:r>
        <w:rPr>
          <w:rFonts w:ascii="Times New Roman" w:eastAsia="Times New Roman" w:hAnsi="Times New Roman" w:cs="Times New Roman"/>
          <w:b/>
          <w:bCs/>
          <w:i/>
          <w:iCs/>
          <w:sz w:val="28"/>
          <w:szCs w:val="28"/>
        </w:rPr>
        <w:t>9. Is access by the organizer’s internal technical personnel to our complete code subject to strict restrictions, and are there operation audit logs?</w:t>
      </w:r>
    </w:p>
    <w:p w14:paraId="080A98A5" w14:textId="77777777" w:rsidR="00D15483" w:rsidRDefault="006E0AFE">
      <w:pPr>
        <w:spacing w:after="80" w:line="276" w:lineRule="auto"/>
        <w:ind w:left="144"/>
        <w:jc w:val="left"/>
        <w:rPr>
          <w:sz w:val="28"/>
          <w:szCs w:val="28"/>
        </w:rPr>
      </w:pPr>
      <w:r>
        <w:rPr>
          <w:rFonts w:ascii="Times New Roman" w:eastAsia="Times New Roman" w:hAnsi="Times New Roman" w:cs="Times New Roman"/>
          <w:i/>
          <w:iCs/>
          <w:sz w:val="28"/>
          <w:szCs w:val="28"/>
        </w:rPr>
        <w:t>Answer: All internal technical personnel of the organizer have signed confidentiality agreements. During the competition, the participating teams’ uploaded proprietary models and code will run only in the assigned protected sandbox environment. Any unauthorized or improper operations, including those by platform administrators, are prohibited, thereby ensuring that code, models, and data remain exclusively protected and are not leaked.</w:t>
      </w:r>
    </w:p>
    <w:p w14:paraId="198EA306" w14:textId="77777777" w:rsidR="00D15483" w:rsidRDefault="00D15483">
      <w:pPr>
        <w:spacing w:before="105" w:after="105" w:line="276" w:lineRule="auto"/>
        <w:jc w:val="left"/>
        <w:rPr>
          <w:sz w:val="28"/>
          <w:szCs w:val="28"/>
        </w:rPr>
      </w:pPr>
    </w:p>
    <w:p w14:paraId="1010CFAF" w14:textId="77777777" w:rsidR="00D15483" w:rsidRDefault="006E0AFE">
      <w:pPr>
        <w:spacing w:after="40" w:line="276" w:lineRule="auto"/>
        <w:ind w:left="144"/>
        <w:jc w:val="left"/>
        <w:rPr>
          <w:sz w:val="28"/>
          <w:szCs w:val="28"/>
        </w:rPr>
      </w:pPr>
      <w:r>
        <w:rPr>
          <w:rFonts w:ascii="Times New Roman" w:eastAsia="Times New Roman" w:hAnsi="Times New Roman" w:cs="Times New Roman"/>
          <w:b/>
          <w:bCs/>
          <w:i/>
          <w:iCs/>
          <w:sz w:val="28"/>
          <w:szCs w:val="28"/>
        </w:rPr>
        <w:t>10. Does the provided computing environment have a hardware-level trusted execution environment or strict container isolation to defend against sandbox escape attacks?</w:t>
      </w:r>
    </w:p>
    <w:p w14:paraId="6FFC3062" w14:textId="77777777" w:rsidR="00D15483" w:rsidRDefault="006E0AFE">
      <w:pPr>
        <w:spacing w:after="80" w:line="276" w:lineRule="auto"/>
        <w:ind w:left="144"/>
        <w:jc w:val="left"/>
        <w:rPr>
          <w:sz w:val="28"/>
          <w:szCs w:val="28"/>
        </w:rPr>
      </w:pPr>
      <w:r>
        <w:rPr>
          <w:rFonts w:ascii="Times New Roman" w:eastAsia="Times New Roman" w:hAnsi="Times New Roman" w:cs="Times New Roman"/>
          <w:i/>
          <w:iCs/>
          <w:sz w:val="28"/>
          <w:szCs w:val="28"/>
        </w:rPr>
        <w:t>Answer: The platform provides strict container isolation but lacks a hardware-level trusted execution environment.</w:t>
      </w:r>
    </w:p>
    <w:p w14:paraId="38D90834" w14:textId="77777777" w:rsidR="00D15483" w:rsidRDefault="00D15483">
      <w:pPr>
        <w:spacing w:before="105" w:after="105" w:line="276" w:lineRule="auto"/>
        <w:jc w:val="left"/>
        <w:rPr>
          <w:sz w:val="28"/>
          <w:szCs w:val="28"/>
        </w:rPr>
      </w:pPr>
    </w:p>
    <w:p w14:paraId="791C7C3E" w14:textId="77777777" w:rsidR="00D15483" w:rsidRDefault="006E0AFE">
      <w:pPr>
        <w:spacing w:after="40" w:line="276" w:lineRule="auto"/>
        <w:ind w:left="144"/>
        <w:jc w:val="left"/>
        <w:rPr>
          <w:sz w:val="28"/>
          <w:szCs w:val="28"/>
        </w:rPr>
      </w:pPr>
      <w:r>
        <w:rPr>
          <w:rFonts w:ascii="Times New Roman" w:eastAsia="Times New Roman" w:hAnsi="Times New Roman" w:cs="Times New Roman"/>
          <w:b/>
          <w:bCs/>
          <w:i/>
          <w:iCs/>
          <w:sz w:val="28"/>
          <w:szCs w:val="28"/>
        </w:rPr>
        <w:t>11. Will computing resources be provided for algorithm training?</w:t>
      </w:r>
    </w:p>
    <w:p w14:paraId="54D7500E" w14:textId="77777777" w:rsidR="00D15483" w:rsidRDefault="006E0AFE">
      <w:pPr>
        <w:spacing w:after="80" w:line="276" w:lineRule="auto"/>
        <w:ind w:left="144"/>
        <w:jc w:val="left"/>
        <w:rPr>
          <w:sz w:val="28"/>
          <w:szCs w:val="28"/>
        </w:rPr>
      </w:pPr>
      <w:r>
        <w:rPr>
          <w:rFonts w:ascii="Times New Roman" w:eastAsia="Times New Roman" w:hAnsi="Times New Roman" w:cs="Times New Roman"/>
          <w:i/>
          <w:iCs/>
          <w:sz w:val="28"/>
          <w:szCs w:val="28"/>
        </w:rPr>
        <w:t>Answer: The competition platform will provide the relevant computing support. After registration is approved, participating teams may log in to the competition platform's trusted development environment online, and the system will automatically allocate dedicated cloud computing resources.</w:t>
      </w:r>
    </w:p>
    <w:p w14:paraId="63271AE6" w14:textId="77777777" w:rsidR="00D15483" w:rsidRDefault="00D15483">
      <w:pPr>
        <w:spacing w:before="105" w:after="105" w:line="276" w:lineRule="auto"/>
        <w:jc w:val="left"/>
        <w:rPr>
          <w:sz w:val="28"/>
          <w:szCs w:val="28"/>
        </w:rPr>
      </w:pPr>
    </w:p>
    <w:p w14:paraId="6E3FE662" w14:textId="77777777" w:rsidR="00D15483" w:rsidRDefault="006E0AFE">
      <w:pPr>
        <w:spacing w:after="40" w:line="276" w:lineRule="auto"/>
        <w:ind w:left="144"/>
        <w:jc w:val="left"/>
        <w:rPr>
          <w:sz w:val="28"/>
          <w:szCs w:val="28"/>
        </w:rPr>
      </w:pPr>
      <w:r>
        <w:rPr>
          <w:rFonts w:ascii="Times New Roman" w:eastAsia="Times New Roman" w:hAnsi="Times New Roman" w:cs="Times New Roman"/>
          <w:b/>
          <w:bCs/>
          <w:i/>
          <w:iCs/>
          <w:sz w:val="28"/>
          <w:szCs w:val="28"/>
        </w:rPr>
        <w:t>12. Since algorithm training will be conducted on a unified cloud platform, is it necessary to download the data locally?</w:t>
      </w:r>
    </w:p>
    <w:p w14:paraId="24762EF8" w14:textId="77777777" w:rsidR="00D15483" w:rsidRDefault="006E0AFE">
      <w:pPr>
        <w:spacing w:after="80" w:line="276" w:lineRule="auto"/>
        <w:ind w:left="144"/>
        <w:jc w:val="left"/>
        <w:rPr>
          <w:sz w:val="28"/>
          <w:szCs w:val="28"/>
        </w:rPr>
      </w:pPr>
      <w:r>
        <w:rPr>
          <w:rFonts w:ascii="Times New Roman" w:eastAsia="Times New Roman" w:hAnsi="Times New Roman" w:cs="Times New Roman"/>
          <w:i/>
          <w:iCs/>
          <w:sz w:val="28"/>
          <w:szCs w:val="28"/>
        </w:rPr>
        <w:t>Answer: The data cannot be downloaded locally and must be used within the competition platform's trusted development environment.</w:t>
      </w:r>
    </w:p>
    <w:p w14:paraId="64F4B330" w14:textId="77777777" w:rsidR="00D15483" w:rsidRDefault="00D15483">
      <w:pPr>
        <w:spacing w:before="105" w:after="105" w:line="276" w:lineRule="auto"/>
        <w:jc w:val="left"/>
        <w:rPr>
          <w:sz w:val="28"/>
          <w:szCs w:val="28"/>
        </w:rPr>
      </w:pPr>
    </w:p>
    <w:p w14:paraId="1A8B2323" w14:textId="77777777" w:rsidR="00D15483" w:rsidRDefault="006E0AFE">
      <w:pPr>
        <w:spacing w:after="40" w:line="276" w:lineRule="auto"/>
        <w:ind w:left="144"/>
        <w:jc w:val="left"/>
        <w:rPr>
          <w:sz w:val="28"/>
          <w:szCs w:val="28"/>
        </w:rPr>
      </w:pPr>
      <w:r>
        <w:rPr>
          <w:rFonts w:ascii="Times New Roman" w:eastAsia="Times New Roman" w:hAnsi="Times New Roman" w:cs="Times New Roman"/>
          <w:b/>
          <w:bCs/>
          <w:i/>
          <w:iCs/>
          <w:sz w:val="28"/>
          <w:szCs w:val="28"/>
        </w:rPr>
        <w:t>13. In the inference/training environment provided by the competition platform, what are the specific GPU model and the memory size of a single GPU? Is multi-GPU parallelism for a single task supported?</w:t>
      </w:r>
    </w:p>
    <w:p w14:paraId="66CFC25D" w14:textId="77777777" w:rsidR="00D15483" w:rsidRDefault="006E0AFE">
      <w:pPr>
        <w:spacing w:after="80" w:line="276" w:lineRule="auto"/>
        <w:ind w:left="144"/>
        <w:jc w:val="left"/>
        <w:rPr>
          <w:sz w:val="28"/>
          <w:szCs w:val="28"/>
        </w:rPr>
      </w:pPr>
      <w:r>
        <w:rPr>
          <w:rFonts w:ascii="Times New Roman" w:eastAsia="Times New Roman" w:hAnsi="Times New Roman" w:cs="Times New Roman"/>
          <w:i/>
          <w:iCs/>
          <w:sz w:val="28"/>
          <w:szCs w:val="28"/>
        </w:rPr>
        <w:lastRenderedPageBreak/>
        <w:t>Answer: The preliminary planned computing allocation for a single team in a single track (subject to dynamic adjustment based on actual participation) is as follows: one machine with a 16-core CPU, 96 GB of memory, a 1 TB hard drive, and a single GPU with 32 GB of memory and 419 TFLOPS (FP16, sparse) computing power. The GPU memory is expected to exceed 32 GB; the specific parameters will be confirmed during resource allocation. At present, multi-GPU parallelism for a single task is not supported. Subsequent optimization will be evaluated based on actual needs.</w:t>
      </w:r>
    </w:p>
    <w:p w14:paraId="4B606305" w14:textId="77777777" w:rsidR="00D15483" w:rsidRDefault="00D15483">
      <w:pPr>
        <w:spacing w:before="105" w:after="105" w:line="276" w:lineRule="auto"/>
        <w:jc w:val="left"/>
        <w:rPr>
          <w:sz w:val="28"/>
          <w:szCs w:val="28"/>
        </w:rPr>
      </w:pPr>
    </w:p>
    <w:p w14:paraId="4BC38C9C" w14:textId="77777777" w:rsidR="00D15483" w:rsidRDefault="006E0AFE">
      <w:pPr>
        <w:spacing w:after="40" w:line="276" w:lineRule="auto"/>
        <w:ind w:left="144"/>
        <w:jc w:val="left"/>
        <w:rPr>
          <w:sz w:val="28"/>
          <w:szCs w:val="28"/>
        </w:rPr>
      </w:pPr>
      <w:r>
        <w:rPr>
          <w:rFonts w:ascii="Times New Roman" w:eastAsia="Times New Roman" w:hAnsi="Times New Roman" w:cs="Times New Roman"/>
          <w:b/>
          <w:bCs/>
          <w:i/>
          <w:iCs/>
          <w:sz w:val="28"/>
          <w:szCs w:val="28"/>
        </w:rPr>
        <w:t>14. Have all identity-related metadata (such as patient ID, hospital name, and scan time) been completely removed from the officially provided medical imaging dataset, and does any traceable data fingerprint remain?</w:t>
      </w:r>
    </w:p>
    <w:p w14:paraId="27F615B0" w14:textId="77777777" w:rsidR="00D15483" w:rsidRDefault="006E0AFE">
      <w:pPr>
        <w:spacing w:after="80" w:line="276" w:lineRule="auto"/>
        <w:ind w:left="144"/>
        <w:jc w:val="left"/>
        <w:rPr>
          <w:sz w:val="28"/>
          <w:szCs w:val="28"/>
        </w:rPr>
      </w:pPr>
      <w:r>
        <w:rPr>
          <w:rFonts w:ascii="Times New Roman" w:eastAsia="Times New Roman" w:hAnsi="Times New Roman" w:cs="Times New Roman"/>
          <w:i/>
          <w:iCs/>
          <w:sz w:val="28"/>
          <w:szCs w:val="28"/>
        </w:rPr>
        <w:t>Answer: All data have been desensitized through data anonymization technology, and the anonymized data are not traceable.</w:t>
      </w:r>
    </w:p>
    <w:p w14:paraId="26AAD2B0" w14:textId="77777777" w:rsidR="00D15483" w:rsidRDefault="00D15483">
      <w:pPr>
        <w:spacing w:before="105" w:after="105" w:line="276" w:lineRule="auto"/>
        <w:jc w:val="left"/>
        <w:rPr>
          <w:sz w:val="28"/>
          <w:szCs w:val="28"/>
        </w:rPr>
      </w:pPr>
    </w:p>
    <w:p w14:paraId="026163F0" w14:textId="77777777" w:rsidR="00D15483" w:rsidRDefault="006E0AFE">
      <w:pPr>
        <w:spacing w:after="40" w:line="276" w:lineRule="auto"/>
        <w:ind w:left="144"/>
        <w:jc w:val="left"/>
        <w:rPr>
          <w:sz w:val="28"/>
          <w:szCs w:val="28"/>
        </w:rPr>
      </w:pPr>
      <w:r>
        <w:rPr>
          <w:rFonts w:ascii="Times New Roman" w:eastAsia="Times New Roman" w:hAnsi="Times New Roman" w:cs="Times New Roman"/>
          <w:b/>
          <w:bCs/>
          <w:i/>
          <w:iCs/>
          <w:sz w:val="28"/>
          <w:szCs w:val="28"/>
        </w:rPr>
        <w:t>15. What parameters are included in the provided CT datasets? For each track, are the data specifically 2D images, 3D volumetric data, or do they involve multimodal fusion (imaging plus text/genetics, etc.)?</w:t>
      </w:r>
    </w:p>
    <w:p w14:paraId="6D4391ED" w14:textId="77777777" w:rsidR="00D15483" w:rsidRDefault="006E0AFE">
      <w:pPr>
        <w:spacing w:after="80" w:line="276" w:lineRule="auto"/>
        <w:ind w:left="144"/>
        <w:jc w:val="left"/>
        <w:rPr>
          <w:sz w:val="28"/>
          <w:szCs w:val="28"/>
        </w:rPr>
      </w:pPr>
      <w:r>
        <w:rPr>
          <w:rFonts w:ascii="Times New Roman" w:eastAsia="Times New Roman" w:hAnsi="Times New Roman" w:cs="Times New Roman"/>
          <w:i/>
          <w:iCs/>
          <w:sz w:val="28"/>
          <w:szCs w:val="28"/>
        </w:rPr>
        <w:t>Answer: The dataset specifications for each track are as follows: Track 1 (Lung Cancer): the CT scan phases include at least non-contrast scanning plus contrast-enhanced scans (arterial phase and venous phase), for a total of three thin-slice series; Track 3 (Cerebral Aneurysm): includes at least one contrast-enhanced thin-slice series; Track 4 (Kidney Cancer): the CT scan phases include at least non-contrast scanning plus contrast-enhanced scans (cortical phase, medullary phase, and excretory phase), for a total of four thin-slice series. Data format: primarily 3D volumetric data; multimodal fusion formats (e.g., imaging plus text/genetics) are not currently involved.</w:t>
      </w:r>
    </w:p>
    <w:p w14:paraId="54422397" w14:textId="77777777" w:rsidR="00D15483" w:rsidRDefault="00D15483">
      <w:pPr>
        <w:spacing w:before="105" w:after="105" w:line="276" w:lineRule="auto"/>
        <w:jc w:val="left"/>
        <w:rPr>
          <w:sz w:val="28"/>
          <w:szCs w:val="28"/>
        </w:rPr>
      </w:pPr>
    </w:p>
    <w:p w14:paraId="085C3765" w14:textId="77777777" w:rsidR="00D15483" w:rsidRDefault="006E0AFE">
      <w:pPr>
        <w:spacing w:after="40" w:line="276" w:lineRule="auto"/>
        <w:ind w:left="144"/>
        <w:jc w:val="left"/>
        <w:rPr>
          <w:sz w:val="28"/>
          <w:szCs w:val="28"/>
        </w:rPr>
      </w:pPr>
      <w:r>
        <w:rPr>
          <w:rFonts w:ascii="Times New Roman" w:eastAsia="Times New Roman" w:hAnsi="Times New Roman" w:cs="Times New Roman"/>
          <w:b/>
          <w:bCs/>
          <w:i/>
          <w:iCs/>
          <w:sz w:val="28"/>
          <w:szCs w:val="28"/>
        </w:rPr>
        <w:t>16. Does the competition provide thyroid color Doppler ultrasound images, or are they all B-mode ultrasound images? Are postoperative pathological results/pathology results available? Is tumor grading based on ACR-TIRADS or C-TIRADS? Which benign and malignant thyroid diseases are mainly covered?</w:t>
      </w:r>
    </w:p>
    <w:p w14:paraId="54C5C182" w14:textId="77777777" w:rsidR="00D15483" w:rsidRDefault="006E0AFE">
      <w:pPr>
        <w:spacing w:after="80" w:line="276" w:lineRule="auto"/>
        <w:ind w:left="144"/>
        <w:jc w:val="left"/>
        <w:rPr>
          <w:sz w:val="28"/>
          <w:szCs w:val="28"/>
        </w:rPr>
      </w:pPr>
      <w:r>
        <w:rPr>
          <w:rFonts w:ascii="Times New Roman" w:eastAsia="Times New Roman" w:hAnsi="Times New Roman" w:cs="Times New Roman"/>
          <w:i/>
          <w:iCs/>
          <w:sz w:val="28"/>
          <w:szCs w:val="28"/>
        </w:rPr>
        <w:t xml:space="preserve">Answer: The thyroid images include only two-dimensional ultrasound images. Color Doppler ultrasound has not been included because it may affect nodule </w:t>
      </w:r>
      <w:r>
        <w:rPr>
          <w:rFonts w:ascii="Times New Roman" w:eastAsia="Times New Roman" w:hAnsi="Times New Roman" w:cs="Times New Roman"/>
          <w:i/>
          <w:iCs/>
          <w:sz w:val="28"/>
          <w:szCs w:val="28"/>
        </w:rPr>
        <w:lastRenderedPageBreak/>
        <w:t>recognition. All nodules above ACR-TIRADS category 3 have pathological confirmation, and microcarcinomas require pathological confirmation. The specific pathological subtypes are not further subdivided; there are only three categories: benign, malignant, and negative with no nodules.</w:t>
      </w:r>
    </w:p>
    <w:p w14:paraId="419D6B53" w14:textId="77777777" w:rsidR="00D15483" w:rsidRDefault="00D15483">
      <w:pPr>
        <w:spacing w:before="105" w:after="105" w:line="276" w:lineRule="auto"/>
        <w:jc w:val="left"/>
        <w:rPr>
          <w:sz w:val="28"/>
          <w:szCs w:val="28"/>
        </w:rPr>
      </w:pPr>
    </w:p>
    <w:p w14:paraId="4F2B137D" w14:textId="77777777" w:rsidR="00D15483" w:rsidRDefault="006E0AFE">
      <w:pPr>
        <w:spacing w:after="40" w:line="276" w:lineRule="auto"/>
        <w:ind w:left="144"/>
        <w:jc w:val="left"/>
        <w:rPr>
          <w:sz w:val="28"/>
          <w:szCs w:val="28"/>
        </w:rPr>
      </w:pPr>
      <w:r>
        <w:rPr>
          <w:rFonts w:ascii="Times New Roman" w:eastAsia="Times New Roman" w:hAnsi="Times New Roman" w:cs="Times New Roman"/>
          <w:b/>
          <w:bCs/>
          <w:i/>
          <w:iCs/>
          <w:sz w:val="28"/>
          <w:szCs w:val="28"/>
        </w:rPr>
        <w:t>17. In addition, when technical difficulties arise that cannot be resolved in the short term, will the organizing committee provide backup computing environments or expert support? Can the Committee provide past successful migration cases for reference to help us assess development risks?</w:t>
      </w:r>
    </w:p>
    <w:p w14:paraId="42976F10" w14:textId="77777777" w:rsidR="00D15483" w:rsidRDefault="006E0AFE">
      <w:pPr>
        <w:spacing w:after="80" w:line="276" w:lineRule="auto"/>
        <w:ind w:left="144"/>
        <w:jc w:val="left"/>
        <w:rPr>
          <w:sz w:val="28"/>
          <w:szCs w:val="28"/>
        </w:rPr>
      </w:pPr>
      <w:r>
        <w:rPr>
          <w:rFonts w:ascii="Times New Roman" w:eastAsia="Times New Roman" w:hAnsi="Times New Roman" w:cs="Times New Roman"/>
          <w:i/>
          <w:iCs/>
          <w:sz w:val="28"/>
          <w:szCs w:val="28"/>
        </w:rPr>
        <w:t>Answer: General-purpose computing support can be provided. At present, there are no migration cases available for reference.</w:t>
      </w:r>
    </w:p>
    <w:p w14:paraId="468C8BAF" w14:textId="77777777" w:rsidR="00D15483" w:rsidRDefault="00D15483">
      <w:pPr>
        <w:spacing w:before="105" w:after="105" w:line="276" w:lineRule="auto"/>
        <w:jc w:val="left"/>
        <w:rPr>
          <w:sz w:val="28"/>
          <w:szCs w:val="28"/>
        </w:rPr>
      </w:pPr>
    </w:p>
    <w:p w14:paraId="18D78E5F" w14:textId="77777777" w:rsidR="00D15483" w:rsidRDefault="006E0AFE">
      <w:pPr>
        <w:spacing w:after="40" w:line="276" w:lineRule="auto"/>
        <w:ind w:left="144"/>
        <w:jc w:val="left"/>
        <w:rPr>
          <w:sz w:val="28"/>
          <w:szCs w:val="28"/>
        </w:rPr>
      </w:pPr>
      <w:r>
        <w:rPr>
          <w:rFonts w:ascii="Times New Roman" w:eastAsia="Times New Roman" w:hAnsi="Times New Roman" w:cs="Times New Roman"/>
          <w:b/>
          <w:bCs/>
          <w:i/>
          <w:iCs/>
          <w:sz w:val="28"/>
          <w:szCs w:val="28"/>
        </w:rPr>
        <w:t>18. With regard to submitted model weight files, has the organizer established a defense-in-depth system covering encrypted static storage, anti-dump runtime memory protection, anti-reverse-engineering structural obfuscation, and model watermark tracing? Specifically, how does the platform effectively defend against model extraction, decompilation, and side-channel attacks, so as to ensure that participating teams’ core algorithm assets are not stolen or illegally reused?</w:t>
      </w:r>
    </w:p>
    <w:p w14:paraId="207D852A" w14:textId="77777777" w:rsidR="00D15483" w:rsidRDefault="006E0AFE">
      <w:pPr>
        <w:spacing w:after="80" w:line="276" w:lineRule="auto"/>
        <w:ind w:left="144"/>
        <w:jc w:val="left"/>
        <w:rPr>
          <w:sz w:val="28"/>
          <w:szCs w:val="28"/>
        </w:rPr>
      </w:pPr>
      <w:r>
        <w:rPr>
          <w:rFonts w:ascii="Times New Roman" w:eastAsia="Times New Roman" w:hAnsi="Times New Roman" w:cs="Times New Roman"/>
          <w:i/>
          <w:iCs/>
          <w:sz w:val="28"/>
          <w:szCs w:val="28"/>
        </w:rPr>
        <w:t>Answer: Before the competition, each team will sign a legally binding agreement clarifying the ownership of intellectual property rights related to the competition. A 24/7 professional security protection system combining technical and human safeguards has been established, multiple attack-and-defense drills have been conducted, and contingency plans for attacks have been enhanced. During the competition, the competition space is based on a closed and trusted data space in which data can only enter and cannot be exported. The platform meets the national Level 3 Multi-Level Protection Scheme requirements. Each team is allocated an exclusive private competition space. During the competition, participating teams uploaded proprietary models and written code that run only in the assigned sandbox environment under protection, and any unauthorized or improper operations, including by platform administrators, are prohibited, thereby ensuring the exclusive protection of code, models, and data against leakage. After the competition, the exclusive space will be securely destroyed in accordance with procedures to ensure that no competition data is retained.</w:t>
      </w:r>
    </w:p>
    <w:p w14:paraId="0A6A6E02" w14:textId="77777777" w:rsidR="00D15483" w:rsidRDefault="00D15483">
      <w:pPr>
        <w:spacing w:before="105" w:after="105" w:line="276" w:lineRule="auto"/>
        <w:jc w:val="left"/>
        <w:rPr>
          <w:sz w:val="28"/>
          <w:szCs w:val="28"/>
        </w:rPr>
      </w:pPr>
    </w:p>
    <w:p w14:paraId="300AFCB9" w14:textId="77777777" w:rsidR="00D15483" w:rsidRDefault="006E0AFE">
      <w:pPr>
        <w:spacing w:after="40" w:line="276" w:lineRule="auto"/>
        <w:ind w:left="144"/>
        <w:jc w:val="left"/>
        <w:rPr>
          <w:sz w:val="28"/>
          <w:szCs w:val="28"/>
        </w:rPr>
      </w:pPr>
      <w:r>
        <w:rPr>
          <w:rFonts w:ascii="Times New Roman" w:eastAsia="Times New Roman" w:hAnsi="Times New Roman" w:cs="Times New Roman"/>
          <w:b/>
          <w:bCs/>
          <w:i/>
          <w:iCs/>
          <w:sz w:val="28"/>
          <w:szCs w:val="28"/>
        </w:rPr>
        <w:t>19. When is registration review expected to be completed?</w:t>
      </w:r>
    </w:p>
    <w:p w14:paraId="308E0F50" w14:textId="77777777" w:rsidR="00D15483" w:rsidRDefault="006E0AFE">
      <w:pPr>
        <w:spacing w:after="80" w:line="276" w:lineRule="auto"/>
        <w:ind w:left="144"/>
        <w:jc w:val="left"/>
        <w:rPr>
          <w:sz w:val="28"/>
          <w:szCs w:val="28"/>
        </w:rPr>
      </w:pPr>
      <w:r>
        <w:rPr>
          <w:rFonts w:ascii="Times New Roman" w:eastAsia="Times New Roman" w:hAnsi="Times New Roman" w:cs="Times New Roman"/>
          <w:i/>
          <w:iCs/>
          <w:sz w:val="28"/>
          <w:szCs w:val="28"/>
        </w:rPr>
        <w:t>Answer: Registration review is being carried out in an orderly manner. Reviews will be arranged in the order of registration. The review results will be notified to applicants by SMS or email. Please wait patiently and keep your communication channels available.</w:t>
      </w:r>
    </w:p>
    <w:p w14:paraId="54EE3C30" w14:textId="77777777" w:rsidR="00D15483" w:rsidRDefault="00D15483">
      <w:pPr>
        <w:spacing w:before="105" w:after="105" w:line="276" w:lineRule="auto"/>
        <w:jc w:val="left"/>
        <w:rPr>
          <w:sz w:val="28"/>
          <w:szCs w:val="28"/>
        </w:rPr>
      </w:pPr>
    </w:p>
    <w:p w14:paraId="5287EC41" w14:textId="77777777" w:rsidR="00D15483" w:rsidRDefault="006E0AFE">
      <w:pPr>
        <w:spacing w:after="40" w:line="276" w:lineRule="auto"/>
        <w:ind w:left="144"/>
        <w:jc w:val="left"/>
        <w:rPr>
          <w:sz w:val="28"/>
          <w:szCs w:val="28"/>
        </w:rPr>
      </w:pPr>
      <w:r>
        <w:rPr>
          <w:rFonts w:ascii="Times New Roman" w:eastAsia="Times New Roman" w:hAnsi="Times New Roman" w:cs="Times New Roman"/>
          <w:b/>
          <w:bCs/>
          <w:i/>
          <w:iCs/>
          <w:sz w:val="28"/>
          <w:szCs w:val="28"/>
        </w:rPr>
        <w:t>20. Can the same team participate in multiple tracks at the same time?</w:t>
      </w:r>
    </w:p>
    <w:p w14:paraId="437F6C41" w14:textId="77777777" w:rsidR="00D15483" w:rsidRDefault="006E0AFE">
      <w:pPr>
        <w:spacing w:after="80" w:line="276" w:lineRule="auto"/>
        <w:ind w:left="144"/>
        <w:jc w:val="left"/>
        <w:rPr>
          <w:sz w:val="28"/>
          <w:szCs w:val="28"/>
        </w:rPr>
      </w:pPr>
      <w:r>
        <w:rPr>
          <w:rFonts w:ascii="Times New Roman" w:eastAsia="Times New Roman" w:hAnsi="Times New Roman" w:cs="Times New Roman"/>
          <w:i/>
          <w:iCs/>
          <w:sz w:val="28"/>
          <w:szCs w:val="28"/>
        </w:rPr>
        <w:t>Answer: The same organization may form multiple teams to participate. The same team may register for multiple tracks at the same time, but for any given track, only one group may be selected for participation.</w:t>
      </w:r>
    </w:p>
    <w:p w14:paraId="0A68D002" w14:textId="77777777" w:rsidR="00D15483" w:rsidRDefault="00D15483">
      <w:pPr>
        <w:spacing w:before="105" w:after="105" w:line="276" w:lineRule="auto"/>
        <w:jc w:val="left"/>
        <w:rPr>
          <w:sz w:val="28"/>
          <w:szCs w:val="28"/>
        </w:rPr>
      </w:pPr>
    </w:p>
    <w:p w14:paraId="7200A0C2" w14:textId="77777777" w:rsidR="00D15483" w:rsidRDefault="006E0AFE">
      <w:pPr>
        <w:spacing w:after="40" w:line="276" w:lineRule="auto"/>
        <w:ind w:left="144"/>
        <w:jc w:val="left"/>
        <w:rPr>
          <w:sz w:val="28"/>
          <w:szCs w:val="28"/>
        </w:rPr>
      </w:pPr>
      <w:r>
        <w:rPr>
          <w:rFonts w:ascii="Times New Roman" w:eastAsia="Times New Roman" w:hAnsi="Times New Roman" w:cs="Times New Roman"/>
          <w:b/>
          <w:bCs/>
          <w:i/>
          <w:iCs/>
          <w:sz w:val="28"/>
          <w:szCs w:val="28"/>
        </w:rPr>
        <w:t>21. After the registration information has been submitted, can team members be changed, and if so, how?</w:t>
      </w:r>
    </w:p>
    <w:p w14:paraId="1D242FFC" w14:textId="77777777" w:rsidR="00D15483" w:rsidRDefault="006E0AFE">
      <w:pPr>
        <w:spacing w:after="80" w:line="276" w:lineRule="auto"/>
        <w:ind w:left="144"/>
        <w:jc w:val="left"/>
        <w:rPr>
          <w:sz w:val="28"/>
          <w:szCs w:val="28"/>
        </w:rPr>
      </w:pPr>
      <w:r>
        <w:rPr>
          <w:rFonts w:ascii="Times New Roman" w:eastAsia="Times New Roman" w:hAnsi="Times New Roman" w:cs="Times New Roman"/>
          <w:i/>
          <w:iCs/>
          <w:sz w:val="28"/>
          <w:szCs w:val="28"/>
        </w:rPr>
        <w:t>Answer: Participating teams may independently withdraw the submitted registration information in the competition registration module, adjust team member information, and resubmit it for review after the modifications are completed.</w:t>
      </w:r>
    </w:p>
    <w:p w14:paraId="1051939E" w14:textId="77777777" w:rsidR="00D15483" w:rsidRDefault="00D15483">
      <w:pPr>
        <w:spacing w:before="105" w:after="105" w:line="276" w:lineRule="auto"/>
        <w:jc w:val="left"/>
        <w:rPr>
          <w:sz w:val="28"/>
          <w:szCs w:val="28"/>
        </w:rPr>
      </w:pPr>
    </w:p>
    <w:p w14:paraId="2498C94D" w14:textId="77777777" w:rsidR="00D15483" w:rsidRDefault="006E0AFE">
      <w:pPr>
        <w:spacing w:after="40" w:line="276" w:lineRule="auto"/>
        <w:ind w:left="144"/>
        <w:jc w:val="left"/>
        <w:rPr>
          <w:sz w:val="28"/>
          <w:szCs w:val="28"/>
        </w:rPr>
      </w:pPr>
      <w:r>
        <w:rPr>
          <w:rFonts w:ascii="Times New Roman" w:eastAsia="Times New Roman" w:hAnsi="Times New Roman" w:cs="Times New Roman"/>
          <w:b/>
          <w:bCs/>
          <w:i/>
          <w:iCs/>
          <w:sz w:val="28"/>
          <w:szCs w:val="28"/>
        </w:rPr>
        <w:t>22. How should the situation be handled if a team member is a recent graduate who has just started employment and is unable to provide proof of social insurance contributions?</w:t>
      </w:r>
    </w:p>
    <w:p w14:paraId="146F4B98" w14:textId="77777777" w:rsidR="00D15483" w:rsidRDefault="006E0AFE">
      <w:pPr>
        <w:spacing w:after="80" w:line="276" w:lineRule="auto"/>
        <w:ind w:left="144"/>
        <w:jc w:val="left"/>
        <w:rPr>
          <w:sz w:val="28"/>
          <w:szCs w:val="28"/>
        </w:rPr>
      </w:pPr>
      <w:r>
        <w:rPr>
          <w:rFonts w:ascii="Times New Roman" w:eastAsia="Times New Roman" w:hAnsi="Times New Roman" w:cs="Times New Roman"/>
          <w:i/>
          <w:iCs/>
          <w:sz w:val="28"/>
          <w:szCs w:val="28"/>
        </w:rPr>
        <w:t>Answer: If a team member is a recent graduate who has just begun employment, a graduation certificate, a labor contract, or proof of one month of social insurance contributions may be provided as supporting documentation.</w:t>
      </w:r>
    </w:p>
    <w:p w14:paraId="0CB3B7AD" w14:textId="77777777" w:rsidR="00D15483" w:rsidRDefault="00D15483">
      <w:pPr>
        <w:spacing w:before="105" w:after="105" w:line="276" w:lineRule="auto"/>
        <w:jc w:val="left"/>
        <w:rPr>
          <w:sz w:val="28"/>
          <w:szCs w:val="28"/>
        </w:rPr>
      </w:pPr>
    </w:p>
    <w:p w14:paraId="659A16D3" w14:textId="77777777" w:rsidR="00D15483" w:rsidRDefault="006E0AFE">
      <w:pPr>
        <w:spacing w:after="40" w:line="276" w:lineRule="auto"/>
        <w:ind w:left="144"/>
        <w:jc w:val="left"/>
        <w:rPr>
          <w:sz w:val="28"/>
          <w:szCs w:val="28"/>
        </w:rPr>
      </w:pPr>
      <w:r>
        <w:rPr>
          <w:rFonts w:ascii="Times New Roman" w:eastAsia="Times New Roman" w:hAnsi="Times New Roman" w:cs="Times New Roman"/>
          <w:b/>
          <w:bCs/>
          <w:i/>
          <w:iCs/>
          <w:sz w:val="28"/>
          <w:szCs w:val="28"/>
        </w:rPr>
        <w:t>23. The system keeps showing “registration failed” when creating an account. How can this be resolved?</w:t>
      </w:r>
    </w:p>
    <w:p w14:paraId="636A9895" w14:textId="77777777" w:rsidR="00D15483" w:rsidRPr="00D12EEC" w:rsidRDefault="006E0AFE" w:rsidP="00D12EEC">
      <w:pPr>
        <w:spacing w:after="80" w:line="276" w:lineRule="auto"/>
        <w:ind w:left="144"/>
        <w:jc w:val="left"/>
        <w:rPr>
          <w:sz w:val="28"/>
          <w:szCs w:val="28"/>
        </w:rPr>
      </w:pPr>
      <w:r>
        <w:rPr>
          <w:rFonts w:ascii="Times New Roman" w:eastAsia="Times New Roman" w:hAnsi="Times New Roman" w:cs="Times New Roman"/>
          <w:i/>
          <w:iCs/>
          <w:sz w:val="28"/>
          <w:szCs w:val="28"/>
        </w:rPr>
        <w:t>Answer: If you encounter a registration failure, you may check the homepage of the competition’s official website and join the corresponding official QQ group, where technical personnel provide real-time consultation. Notes: Please ensure that the registration information you enter is accurate, valid, and correctly formatted; avoid using special characters; and try again after switching browsers or clearing the cache.</w:t>
      </w:r>
    </w:p>
    <w:sectPr w:rsidR="00D15483" w:rsidRPr="00D12EEC">
      <w:headerReference w:type="default" r:id="rId7"/>
      <w:pgSz w:w="11906" w:h="16838"/>
      <w:pgMar w:top="1417" w:right="1304" w:bottom="1417" w:left="1587" w:header="851" w:footer="992" w:gutter="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70E1F" w14:textId="77777777" w:rsidR="004568E3" w:rsidRDefault="004568E3">
      <w:pPr>
        <w:spacing w:after="0" w:line="240" w:lineRule="auto"/>
      </w:pPr>
      <w:r>
        <w:separator/>
      </w:r>
    </w:p>
  </w:endnote>
  <w:endnote w:type="continuationSeparator" w:id="0">
    <w:p w14:paraId="698E9D16" w14:textId="77777777" w:rsidR="004568E3" w:rsidRDefault="004568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方正仿宋_GB2312">
    <w:altName w:val="仿宋"/>
    <w:charset w:val="00"/>
    <w:family w:val="auto"/>
    <w:pitch w:val="default"/>
    <w:sig w:usb0="00000000" w:usb1="00000000" w:usb2="00000012"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default"/>
    <w:sig w:usb0="00000001" w:usb1="080E0000" w:usb2="00000000" w:usb3="00000000" w:csb0="00040000" w:csb1="00000000"/>
  </w:font>
  <w:font w:name="方正小标宋简体">
    <w:altName w:val="微软雅黑"/>
    <w:charset w:val="86"/>
    <w:family w:val="script"/>
    <w:pitch w:val="default"/>
    <w:sig w:usb0="00000001" w:usb1="080E0000" w:usb2="00000000" w:usb3="00000000" w:csb0="0004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35D27" w14:textId="77777777" w:rsidR="004568E3" w:rsidRDefault="004568E3">
      <w:pPr>
        <w:spacing w:after="0" w:line="240" w:lineRule="auto"/>
      </w:pPr>
      <w:r>
        <w:separator/>
      </w:r>
    </w:p>
  </w:footnote>
  <w:footnote w:type="continuationSeparator" w:id="0">
    <w:p w14:paraId="3C084EE5" w14:textId="77777777" w:rsidR="004568E3" w:rsidRDefault="004568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AB4EB" w14:textId="77777777" w:rsidR="00D15483" w:rsidRDefault="006E0AFE">
    <w:r>
      <w:rPr>
        <w:noProof/>
      </w:rPr>
      <mc:AlternateContent>
        <mc:Choice Requires="wps">
          <w:drawing>
            <wp:anchor distT="0" distB="0" distL="114300" distR="114300" simplePos="0" relativeHeight="251658240" behindDoc="0" locked="0" layoutInCell="1" allowOverlap="1" wp14:anchorId="3BC16573" wp14:editId="055DB9BC">
              <wp:simplePos x="0" y="0"/>
              <wp:positionH relativeFrom="page">
                <wp:posOffset>0</wp:posOffset>
              </wp:positionH>
              <wp:positionV relativeFrom="page">
                <wp:posOffset>0</wp:posOffset>
              </wp:positionV>
              <wp:extent cx="0" cy="0"/>
              <wp:effectExtent l="0" t="0" r="0" b="0"/>
              <wp:wrapNone/>
              <wp:docPr id="1" name="文本框 1"/>
              <wp:cNvGraphicFramePr/>
              <a:graphic xmlns:a="http://schemas.openxmlformats.org/drawingml/2006/main">
                <a:graphicData uri="http://schemas.microsoft.com/office/word/2010/wordprocessingShape">
                  <wps:wsp>
                    <wps:cNvSpPr txBox="1"/>
                    <wps:spPr>
                      <a:xfrm>
                        <a:off x="0" y="0"/>
                        <a:ext cx="0" cy="0"/>
                      </a:xfrm>
                      <a:prstGeom prst="rect">
                        <a:avLst/>
                      </a:prstGeom>
                      <a:noFill/>
                      <a:ln>
                        <a:noFill/>
                      </a:ln>
                    </wps:spPr>
                    <wps:txbx>
                      <w:txbxContent>
                        <w:p w14:paraId="77AB0350" w14:textId="77777777" w:rsidR="00D15483" w:rsidRDefault="006E0AFE">
                          <w:r>
                            <w:t>ImpTraceLabel=PD94bWwgdmVyc2lvbj0nMS4wJyBlbmNvZGluZz0nVVRGLTgnPz48dHJhY2U+PGNvbnRlbnQ+PC9jb250ZW50PjxhY2NvdW50PnljcThiZmh2NWUwaWZuMHN6NDg0ZzY8L2FjY291bnQ+PG1hY2hpbmVDb2RlPkszODkyODIxMjE3NzcKPC9tYWNoaW5lQ29kZT48dGltZT4yMDI2LTA2LTAyIDIwOjUwOjI3PC90aW1lPjxzeXN0ZW0+TUI8c3lzdGVtPjwvdHJhY2U+</w:t>
                          </w:r>
                        </w:p>
                      </w:txbxContent>
                    </wps:txbx>
                    <wps:bodyPr upright="1"/>
                  </wps:wsp>
                </a:graphicData>
              </a:graphic>
            </wp:anchor>
          </w:drawing>
        </mc:Choice>
        <mc:Fallback>
          <w:pict>
            <v:shapetype w14:anchorId="3BC16573" id="_x0000_t202" coordsize="21600,21600" o:spt="202" path="m,l,21600r21600,l21600,xe">
              <v:stroke joinstyle="miter"/>
              <v:path gradientshapeok="t" o:connecttype="rect"/>
            </v:shapetype>
            <v:shape id="文本框 1" o:spid="_x0000_s1026" type="#_x0000_t202" style="position:absolute;left:0;text-align:left;margin-left:0;margin-top:0;width:0;height:0;z-index:2516582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" filled="f" stroked="f">
              <v:textbox>
                <w:txbxContent>
                  <w:p w14:paraId="77AB0350" w14:textId="77777777" w:rsidR="00D15483" w:rsidRDefault="006E0AFE">
                    <w:r>
                      <w:t>ImpTraceLabel=PD94bWwgdmVyc2lvbj0nMS4wJyBlbmNvZGluZz0nVVRGLTgnPz48dHJhY2U+PGNvbnRlbnQ+PC9jb250ZW50PjxhY2NvdW50PnljcThiZmh2NWUwaWZuMHN6NDg0ZzY8L2FjY291bnQ+PG1hY2hpbmVDb2RlPkszODkyODIxMjE3NzcKPC9tYWNoaW5lQ29kZT48dGltZT4yMDI2LTA2LTAyIDIwOjUwOjI3PC90aW1lPjxzeXN0ZW0+TUI8c3lzdGVtPjwvdHJhY2U+</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15483"/>
    <w:rsid w:val="00020081"/>
    <w:rsid w:val="004568E3"/>
    <w:rsid w:val="006E0AFE"/>
    <w:rsid w:val="00D12EEC"/>
    <w:rsid w:val="00D15483"/>
    <w:rsid w:val="00FF1D37"/>
    <w:rsid w:val="018E5F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513329"/>
  <w15:docId w15:val="{A6876878-7884-4DD0-B46F-3A8169DF0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kinsoku w:val="0"/>
      <w:autoSpaceDE w:val="0"/>
      <w:autoSpaceDN w:val="0"/>
      <w:adjustRightInd w:val="0"/>
      <w:snapToGrid w:val="0"/>
      <w:spacing w:after="200" w:line="600" w:lineRule="exact"/>
      <w:jc w:val="both"/>
      <w:textAlignment w:val="baseline"/>
    </w:pPr>
    <w:rPr>
      <w:rFonts w:ascii="Arial" w:eastAsia="方正仿宋_GB2312" w:hAnsi="Arial" w:cs="Arial"/>
      <w:snapToGrid w:val="0"/>
      <w:color w:val="000000"/>
      <w:sz w:val="32"/>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spacing w:line="240" w:lineRule="auto"/>
    </w:pPr>
    <w:rPr>
      <w:rFonts w:ascii="仿宋" w:hAnsi="仿宋" w:cs="仿宋"/>
      <w:sz w:val="24"/>
      <w:szCs w:val="28"/>
    </w:rPr>
  </w:style>
  <w:style w:type="paragraph" w:styleId="a4">
    <w:name w:val="List Paragraph"/>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3852</Words>
  <Characters>11404</Characters>
  <Application>Microsoft Office Word</Application>
  <DocSecurity>0</DocSecurity>
  <Lines>292</Lines>
  <Paragraphs>113</Paragraphs>
  <ScaleCrop>false</ScaleCrop>
  <Company/>
  <LinksUpToDate>false</LinksUpToDate>
  <CharactersWithSpaces>15143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33851</dc:creator>
  <cp:lastModifiedBy>xf jing</cp:lastModifiedBy>
  <cp:revision>3</cp:revision>
  <dcterms:created xsi:type="dcterms:W3CDTF">2026-06-04T12:34:00Z</dcterms:created>
  <dcterms:modified xsi:type="dcterms:W3CDTF">2026-06-08T01:36:00Z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2052-11.1.0.10009</vt:lpwstr>
  </property>
</Properties>
</file>