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sz w:val="24"/>
          <w:szCs w:val="24"/>
        </w:rPr>
      </w:pPr>
    </w:p>
    <w:p>
      <w:pPr>
        <w:jc w:val="center"/>
        <w:rPr>
          <w:rFonts w:hint="eastAsia"/>
          <w:color w:val="auto"/>
          <w:sz w:val="24"/>
          <w:szCs w:val="24"/>
        </w:rPr>
      </w:pPr>
      <w:r>
        <w:rPr>
          <w:rFonts w:hint="eastAsia"/>
          <w:color w:val="auto"/>
          <w:sz w:val="24"/>
          <w:szCs w:val="24"/>
        </w:rPr>
        <w:t>教务〔202</w:t>
      </w:r>
      <w:r>
        <w:rPr>
          <w:rFonts w:hint="eastAsia"/>
          <w:color w:val="auto"/>
          <w:sz w:val="24"/>
          <w:szCs w:val="24"/>
          <w:lang w:val="en-US" w:eastAsia="zh-CN"/>
        </w:rPr>
        <w:t>4</w:t>
      </w:r>
      <w:r>
        <w:rPr>
          <w:rFonts w:hint="eastAsia"/>
          <w:color w:val="auto"/>
          <w:sz w:val="24"/>
          <w:szCs w:val="24"/>
        </w:rPr>
        <w:t>〕</w:t>
      </w:r>
      <w:r>
        <w:rPr>
          <w:rFonts w:hint="eastAsia"/>
          <w:color w:val="auto"/>
          <w:sz w:val="24"/>
          <w:szCs w:val="24"/>
          <w:lang w:val="en-US" w:eastAsia="zh-CN"/>
        </w:rPr>
        <w:t>8</w:t>
      </w:r>
      <w:r>
        <w:rPr>
          <w:rFonts w:hint="eastAsia"/>
          <w:color w:val="auto"/>
          <w:sz w:val="24"/>
          <w:szCs w:val="24"/>
        </w:rPr>
        <w:t>号</w:t>
      </w:r>
    </w:p>
    <w:p>
      <w:pPr>
        <w:jc w:val="center"/>
        <w:rPr>
          <w:rFonts w:hint="eastAsia"/>
          <w:color w:val="auto"/>
          <w:sz w:val="24"/>
          <w:szCs w:val="24"/>
        </w:rPr>
      </w:pPr>
    </w:p>
    <w:p>
      <w:pPr>
        <w:jc w:val="center"/>
        <w:rPr>
          <w:rFonts w:hint="eastAsia"/>
          <w:color w:val="auto"/>
          <w:sz w:val="24"/>
          <w:szCs w:val="24"/>
        </w:rPr>
      </w:pPr>
    </w:p>
    <w:p>
      <w:pPr>
        <w:pStyle w:val="8"/>
        <w:widowControl/>
        <w:shd w:val="clear" w:color="auto" w:fill="FFFFFF"/>
        <w:spacing w:before="0" w:beforeAutospacing="0" w:after="0" w:afterAutospacing="0" w:line="460" w:lineRule="exact"/>
        <w:ind w:firstLine="602" w:firstLineChars="200"/>
        <w:jc w:val="center"/>
        <w:textAlignment w:val="baseline"/>
        <w:rPr>
          <w:rFonts w:hint="eastAsia" w:ascii="宋体" w:hAnsi="宋体" w:eastAsia="宋体" w:cs="宋体"/>
          <w:b/>
          <w:bCs/>
          <w:color w:val="auto"/>
          <w:sz w:val="30"/>
          <w:szCs w:val="30"/>
          <w:shd w:val="clear" w:color="auto" w:fill="FFFFFF"/>
          <w:lang w:eastAsia="zh-CN"/>
        </w:rPr>
      </w:pPr>
      <w:r>
        <w:rPr>
          <w:rFonts w:hint="eastAsia" w:ascii="宋体" w:hAnsi="宋体" w:eastAsia="宋体" w:cs="宋体"/>
          <w:b/>
          <w:bCs/>
          <w:color w:val="auto"/>
          <w:sz w:val="30"/>
          <w:szCs w:val="30"/>
          <w:shd w:val="clear" w:color="auto" w:fill="FFFFFF"/>
          <w:lang w:eastAsia="zh-CN"/>
        </w:rPr>
        <w:t>关于组织申报202</w:t>
      </w:r>
      <w:r>
        <w:rPr>
          <w:rFonts w:hint="eastAsia" w:ascii="宋体" w:hAnsi="宋体" w:eastAsia="宋体" w:cs="宋体"/>
          <w:b/>
          <w:bCs/>
          <w:color w:val="auto"/>
          <w:sz w:val="30"/>
          <w:szCs w:val="30"/>
          <w:shd w:val="clear" w:color="auto" w:fill="FFFFFF"/>
          <w:lang w:val="en-US" w:eastAsia="zh-CN"/>
        </w:rPr>
        <w:t>4</w:t>
      </w:r>
      <w:r>
        <w:rPr>
          <w:rFonts w:hint="eastAsia" w:ascii="宋体" w:hAnsi="宋体" w:eastAsia="宋体" w:cs="宋体"/>
          <w:b/>
          <w:bCs/>
          <w:color w:val="auto"/>
          <w:sz w:val="30"/>
          <w:szCs w:val="30"/>
          <w:shd w:val="clear" w:color="auto" w:fill="FFFFFF"/>
          <w:lang w:eastAsia="zh-CN"/>
        </w:rPr>
        <w:t>年通识教育讲座的通知</w:t>
      </w:r>
    </w:p>
    <w:p>
      <w:pPr>
        <w:pStyle w:val="8"/>
        <w:widowControl/>
        <w:shd w:val="clear" w:color="auto" w:fill="FFFFFF"/>
        <w:spacing w:beforeAutospacing="0" w:afterAutospacing="0" w:line="460" w:lineRule="exact"/>
        <w:jc w:val="both"/>
        <w:textAlignment w:val="baseline"/>
        <w:rPr>
          <w:rFonts w:ascii="宋体" w:hAnsi="宋体" w:eastAsia="宋体" w:cs="宋体"/>
          <w:color w:val="auto"/>
          <w:shd w:val="clear" w:color="auto" w:fill="FFFFFF"/>
        </w:rPr>
      </w:pP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各学院（部）、各职能部门：</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落实立德树人根本任务，推动教育教学改革，把思想政治教育贯穿人才培养全过程，发挥通识教育讲座的育人作用，培养学生的学习兴趣，营造浓郁的学术氛围，推进校园文化建设，全方位提高我校的人才培养质量，自2019年10月起，学校在全校范围内开展了通识教育主题讲座，深受学生欢迎，促进了学生的个性化发展。经研究决定，继续在全校范围内征集通识教育讲座主题。现将有关事项通知如下。</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一、通识教育理念</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立德树人，以学生发展为中心，引导学生拓宽视野，奠定学生的世界观、人生观和价值观，培养学生的独立思考能力、有效交流能力、批判思维能力和价值判断能力，提升学生的综合素养和社会责任感，培养学生的健全人格，全员全过程全方位育人。</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二、组织与实施</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教务处负责通识教育的总体规划，制订讲座建设、遴选和评价标准，分类指导和组织通识教育主题讲座的开展。学院（部）和相关职能部门负责组织符合条件的教师积极参与通识教育讲座的申报与开设。课程主讲教师负责讲座内容的组织、设计与讲授，并配合学校进行推广。</w:t>
      </w:r>
      <w:r>
        <w:rPr>
          <w:rFonts w:hint="eastAsia" w:ascii="宋体" w:hAnsi="宋体" w:eastAsia="宋体" w:cs="宋体"/>
          <w:b/>
          <w:bCs/>
          <w:sz w:val="24"/>
          <w:szCs w:val="24"/>
          <w:lang w:val="en-US" w:eastAsia="zh-CN"/>
        </w:rPr>
        <w:t>通识教育讲座为本科教育常态化教学工作，各学院（部）及教师应积极承担并很好的完成教学任务，对未完成该任务的学院（部）教务处将取消该院（部）学生选听“通识教育讲座”的权限。</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讲座面向全校本科生开设，每周（工作日）开设2-3场。学生根据个人学习和发展需求选修。学生修完规定讲座数量以及完成相应的学习任务，条件符合者可根据相关教学管理规定申请通识教育学分。</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三、讲座主题要求</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color w:val="auto"/>
          <w:sz w:val="24"/>
          <w:szCs w:val="24"/>
          <w:shd w:val="clear" w:color="auto" w:fill="FFFFFF"/>
        </w:rPr>
      </w:pPr>
      <w:r>
        <w:rPr>
          <w:rFonts w:hint="eastAsia" w:ascii="宋体" w:hAnsi="宋体" w:eastAsia="宋体" w:cs="宋体"/>
          <w:b/>
          <w:bCs/>
          <w:color w:val="auto"/>
          <w:sz w:val="24"/>
          <w:szCs w:val="24"/>
          <w:shd w:val="clear" w:color="auto" w:fill="FFFFFF"/>
        </w:rPr>
        <w:t>（一）主题范围</w:t>
      </w:r>
      <w:bookmarkStart w:id="0" w:name="_GoBack"/>
      <w:bookmarkEnd w:id="0"/>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不限文理，传统文化与政治理论、历史哲学与语言文学、经济法律与社会文明、自然科学与信息技术、形势热点与创新创业、艺术体育与生命健康、生态文明建设与教育、教师教育与职业发展等方向均可申请，应体现通识教育的多元化特征。</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（二）内容要求</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育人导向，突出价值引领，知识传授、能力培养与价值塑造相融合的原则，主讲教师应注意梳理课程思政育人元素，在教学过程中注意弘扬社会主义核心价值观，提高学生思想品德水平、人文素养、认知能力，培养爱国主义精神、科学精神，凸显通识教育的价值引导功能。</w:t>
      </w:r>
    </w:p>
    <w:p>
      <w:pPr>
        <w:keepNext w:val="0"/>
        <w:keepLines w:val="0"/>
        <w:pageBreakBefore w:val="0"/>
        <w:widowControl w:val="0"/>
        <w:numPr>
          <w:numId w:val="0"/>
        </w:numPr>
        <w:kinsoku/>
        <w:wordWrap/>
        <w:overflowPunct/>
        <w:topLinePunct w:val="0"/>
        <w:autoSpaceDE/>
        <w:autoSpaceDN/>
        <w:bidi w:val="0"/>
        <w:adjustRightInd/>
        <w:snapToGrid/>
        <w:spacing w:line="432" w:lineRule="auto"/>
        <w:ind w:leftChars="200"/>
        <w:textAlignment w:val="auto"/>
        <w:rPr>
          <w:rFonts w:hint="eastAsia" w:ascii="宋体" w:hAnsi="宋体" w:eastAsia="宋体" w:cs="宋体"/>
          <w:b/>
          <w:bCs/>
          <w:color w:val="auto"/>
          <w:sz w:val="24"/>
          <w:szCs w:val="24"/>
          <w:shd w:val="clear" w:color="auto" w:fill="FFFFFF"/>
        </w:rPr>
      </w:pPr>
      <w:r>
        <w:rPr>
          <w:rFonts w:hint="eastAsia" w:ascii="宋体" w:hAnsi="宋体" w:eastAsia="宋体" w:cs="宋体"/>
          <w:b/>
          <w:bCs/>
          <w:sz w:val="24"/>
          <w:szCs w:val="24"/>
          <w:lang w:val="en-US" w:eastAsia="zh-CN"/>
        </w:rPr>
        <w:t>（三）</w:t>
      </w:r>
      <w:r>
        <w:rPr>
          <w:rFonts w:hint="eastAsia" w:ascii="宋体" w:hAnsi="宋体" w:eastAsia="宋体" w:cs="宋体"/>
          <w:b/>
          <w:bCs/>
          <w:color w:val="auto"/>
          <w:sz w:val="24"/>
          <w:szCs w:val="24"/>
          <w:shd w:val="clear" w:color="auto" w:fill="FFFFFF"/>
        </w:rPr>
        <w:t>主题形式</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sz w:val="24"/>
          <w:szCs w:val="24"/>
          <w:lang w:val="en-US" w:eastAsia="zh-CN"/>
        </w:rPr>
        <w:t>1.教师可根据学科学术背景单独申报讲座主题</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b/>
          <w:bCs/>
          <w:sz w:val="24"/>
          <w:szCs w:val="24"/>
          <w:lang w:val="en-US" w:eastAsia="zh-CN"/>
        </w:rPr>
        <w:t>注意：讲座的受众为全校各专业的本科生，主题专业性不能太强</w:t>
      </w:r>
      <w:r>
        <w:rPr>
          <w:rFonts w:hint="eastAsia" w:ascii="宋体" w:hAnsi="宋体" w:eastAsia="宋体" w:cs="宋体"/>
          <w:color w:val="auto"/>
          <w:sz w:val="24"/>
          <w:szCs w:val="24"/>
          <w:shd w:val="clear" w:color="auto" w:fill="FFFFFF"/>
          <w:lang w:eastAsia="zh-CN"/>
        </w:rPr>
        <w:t>）</w:t>
      </w:r>
      <w:r>
        <w:rPr>
          <w:rFonts w:hint="eastAsia" w:ascii="宋体" w:hAnsi="宋体" w:eastAsia="宋体" w:cs="宋体"/>
          <w:color w:val="auto"/>
          <w:sz w:val="24"/>
          <w:szCs w:val="24"/>
          <w:shd w:val="clear" w:color="auto" w:fill="FFFFFF"/>
        </w:rPr>
        <w:t>；</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各学院做好讲座的总体设计，以专题系列为中心设计讲座并申报，将通识教育讲座体系化、模块化，遵循修学次第的原则，打造精品讲座包。建议：各学院可根据学科专业特色申报专题系列讲座，也可以学院间、学院与职能（业务）部门间联合申报。本年度拟设中华优秀传统文化、广西民族特色、民族共同体教育、“四新”建设、生态文明建设与教育、艺术体育与劳动教育、就业指导与生涯规划、教师教育等主题讲座，请各学院针对以上选题进行设计。</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四、申报条件和其他事项</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（一）主讲教师资格</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主讲教师应具有博士学位或副教授（副高）以上职称，有较强的教学设计能力，能够运用理念先进的教学方法和手段组织讲座。鼓励符合条件的高水平教授、博士、教学名师、教学能手、教学新秀等开设讲座。</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（二）讲座时间</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2小时，其中讲授环节1小时40分钟，互动环节20分钟。   </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（三）讲座形式</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采取现场讲座与线上直播相结合的形式，现场讲座在王城、育才、雁山三个校区交叉开设，具体由教务处统筹安排。</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2" w:firstLineChars="200"/>
        <w:jc w:val="both"/>
        <w:textAlignment w:val="baseline"/>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五、申报时间</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2024年3月4日-19日。</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"mailto:各学院组织教师填写《广西师范大学通识教育讲座申请表》，审核并签署意见（加盖学院公章）后，于6月8日前将纸质版报送教务处大学生文化素质教育基地办公室，电子版发送到邮箱gxsdjwc6480@126.com。</w:instrTex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instrText xml:space="preserve">本学期全校讲座安排确定后，主讲教师应在讲座开展前将PPT发送至上述邮箱，由教务处集中报送宣传部审核；"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各学院组织教师填写《广西师范大学通识教育讲座申请表》与《通识教育讲座申报情况汇总表》，审核并签署意见（加盖学院公章）后，于3月19日前将纸质版报送教务处大学生文化素质教育基地办公室（育才校区校办综合楼106室，雁山校区起文楼北楼555室），电子版发送到邮箱gxsdtsjy@126.com。</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本学期全校讲座安排确定后，主讲教师应在讲座开展前将PPT发送至上述邮箱，由教务处集中报送宣传部审核；</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同时，提交一张个人照片，以备学校统一制作宣传材料。</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未尽事宜，请咨询教务处大学生文化素质教育基地办公室，联系人：王海艳，电话：0773-3698175（雁山)、0773-2677135（育才)。</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附件：1.2024年通识教育讲座各学院讲座任务分解表</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1200" w:firstLineChars="5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2</w:t>
      </w:r>
      <w:r>
        <w:rPr>
          <w:rFonts w:hint="eastAsia" w:ascii="宋体" w:hAnsi="宋体" w:eastAsia="宋体" w:cs="宋体"/>
          <w:color w:val="auto"/>
          <w:sz w:val="24"/>
          <w:szCs w:val="24"/>
          <w:shd w:val="clear" w:color="auto" w:fill="FFFFFF"/>
        </w:rPr>
        <w:t>.通识教育讲座申报情况汇总表</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1200" w:firstLineChars="5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3</w:t>
      </w:r>
      <w:r>
        <w:rPr>
          <w:rFonts w:hint="eastAsia" w:ascii="宋体" w:hAnsi="宋体" w:eastAsia="宋体" w:cs="宋体"/>
          <w:color w:val="auto"/>
          <w:sz w:val="24"/>
          <w:szCs w:val="24"/>
          <w:shd w:val="clear" w:color="auto" w:fill="FFFFFF"/>
        </w:rPr>
        <w:t>.广西师范大学通识教育讲座申请表</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1200" w:firstLineChars="500"/>
        <w:jc w:val="both"/>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rPr>
        <w:t xml:space="preserve">                                               </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480" w:firstLineChars="200"/>
        <w:jc w:val="center"/>
        <w:textAlignment w:val="baseline"/>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shd w:val="clear" w:color="auto" w:fill="FFFFFF"/>
          <w:lang w:val="en-US" w:eastAsia="zh-CN"/>
        </w:rPr>
        <w:t xml:space="preserve">                                               广西师范大学</w:t>
      </w:r>
      <w:r>
        <w:rPr>
          <w:rFonts w:hint="eastAsia" w:ascii="宋体" w:hAnsi="宋体" w:eastAsia="宋体" w:cs="宋体"/>
          <w:color w:val="auto"/>
          <w:sz w:val="24"/>
          <w:szCs w:val="24"/>
          <w:shd w:val="clear" w:color="auto" w:fill="FFFFFF"/>
        </w:rPr>
        <w:t>教务处</w:t>
      </w:r>
    </w:p>
    <w:p>
      <w:pPr>
        <w:pStyle w:val="8"/>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60" w:lineRule="auto"/>
        <w:ind w:firstLine="720" w:firstLineChars="300"/>
        <w:jc w:val="left"/>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 xml:space="preserve">                                     </w:t>
      </w:r>
      <w:r>
        <w:rPr>
          <w:rFonts w:hint="eastAsia" w:ascii="宋体" w:hAnsi="宋体" w:eastAsia="宋体" w:cs="宋体"/>
          <w:color w:val="auto"/>
          <w:sz w:val="24"/>
          <w:szCs w:val="24"/>
          <w:shd w:val="clear" w:color="auto" w:fill="FFFFFF"/>
          <w:lang w:val="en-US" w:eastAsia="zh-CN"/>
        </w:rPr>
        <w:t xml:space="preserve">     </w:t>
      </w:r>
      <w:r>
        <w:rPr>
          <w:rFonts w:hint="eastAsia" w:ascii="宋体" w:hAnsi="宋体" w:eastAsia="宋体" w:cs="宋体"/>
          <w:color w:val="auto"/>
          <w:sz w:val="24"/>
          <w:szCs w:val="24"/>
          <w:shd w:val="clear" w:color="auto" w:fill="FFFFFF"/>
        </w:rPr>
        <w:t xml:space="preserve">  </w:t>
      </w:r>
      <w:r>
        <w:rPr>
          <w:rFonts w:hint="eastAsia" w:ascii="宋体" w:hAnsi="宋体" w:eastAsia="宋体" w:cs="宋体"/>
          <w:color w:val="auto"/>
          <w:sz w:val="24"/>
          <w:szCs w:val="24"/>
          <w:shd w:val="clear" w:color="auto" w:fill="FFFFFF"/>
          <w:lang w:val="en-US" w:eastAsia="zh-CN"/>
        </w:rPr>
        <w:t xml:space="preserve"> </w:t>
      </w:r>
      <w:r>
        <w:rPr>
          <w:rFonts w:hint="eastAsia" w:ascii="宋体" w:hAnsi="宋体" w:eastAsia="宋体" w:cs="宋体"/>
          <w:color w:val="auto"/>
          <w:sz w:val="24"/>
          <w:szCs w:val="24"/>
          <w:shd w:val="clear" w:color="auto" w:fill="FFFFFF"/>
        </w:rPr>
        <w:t xml:space="preserve"> 202</w:t>
      </w:r>
      <w:r>
        <w:rPr>
          <w:rFonts w:hint="eastAsia" w:ascii="宋体" w:hAnsi="宋体" w:eastAsia="宋体" w:cs="宋体"/>
          <w:color w:val="auto"/>
          <w:sz w:val="24"/>
          <w:szCs w:val="24"/>
          <w:shd w:val="clear" w:color="auto" w:fill="FFFFFF"/>
          <w:lang w:val="en-US" w:eastAsia="zh-CN"/>
        </w:rPr>
        <w:t>4</w:t>
      </w:r>
      <w:r>
        <w:rPr>
          <w:rFonts w:hint="eastAsia" w:ascii="宋体" w:hAnsi="宋体" w:eastAsia="宋体" w:cs="宋体"/>
          <w:color w:val="auto"/>
          <w:sz w:val="24"/>
          <w:szCs w:val="24"/>
          <w:shd w:val="clear" w:color="auto" w:fill="FFFFFF"/>
        </w:rPr>
        <w:t>年</w:t>
      </w:r>
      <w:r>
        <w:rPr>
          <w:rFonts w:hint="eastAsia" w:ascii="宋体" w:hAnsi="宋体" w:eastAsia="宋体" w:cs="宋体"/>
          <w:color w:val="auto"/>
          <w:sz w:val="24"/>
          <w:szCs w:val="24"/>
          <w:shd w:val="clear" w:color="auto" w:fill="FFFFFF"/>
          <w:lang w:val="en-US" w:eastAsia="zh-CN"/>
        </w:rPr>
        <w:t>2</w:t>
      </w:r>
      <w:r>
        <w:rPr>
          <w:rFonts w:hint="eastAsia" w:ascii="宋体" w:hAnsi="宋体" w:eastAsia="宋体" w:cs="宋体"/>
          <w:color w:val="auto"/>
          <w:sz w:val="24"/>
          <w:szCs w:val="24"/>
          <w:shd w:val="clear" w:color="auto" w:fill="FFFFFF"/>
        </w:rPr>
        <w:t>月</w:t>
      </w:r>
      <w:r>
        <w:rPr>
          <w:rFonts w:hint="eastAsia" w:ascii="宋体" w:hAnsi="宋体" w:eastAsia="宋体" w:cs="宋体"/>
          <w:color w:val="auto"/>
          <w:sz w:val="24"/>
          <w:szCs w:val="24"/>
          <w:shd w:val="clear" w:color="auto" w:fill="FFFFFF"/>
          <w:lang w:val="en-US" w:eastAsia="zh-CN"/>
        </w:rPr>
        <w:t>29</w:t>
      </w:r>
      <w:r>
        <w:rPr>
          <w:rFonts w:hint="eastAsia" w:ascii="宋体" w:hAnsi="宋体" w:eastAsia="宋体" w:cs="宋体"/>
          <w:color w:val="auto"/>
          <w:sz w:val="24"/>
          <w:szCs w:val="24"/>
          <w:shd w:val="clear" w:color="auto" w:fill="FFFFFF"/>
        </w:rPr>
        <w:t>日</w:t>
      </w: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3JW--GB1-0">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FZKT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yYWQ0OTJhZWM4NjUwYzE0ZmRiMjVmZGMxMTZhYTMifQ=="/>
  </w:docVars>
  <w:rsids>
    <w:rsidRoot w:val="3571518A"/>
    <w:rsid w:val="00043A9B"/>
    <w:rsid w:val="000F1AE4"/>
    <w:rsid w:val="00141E0E"/>
    <w:rsid w:val="002342B1"/>
    <w:rsid w:val="003C2403"/>
    <w:rsid w:val="004E430E"/>
    <w:rsid w:val="004F2BB1"/>
    <w:rsid w:val="005D38B1"/>
    <w:rsid w:val="005F373F"/>
    <w:rsid w:val="0066469B"/>
    <w:rsid w:val="006A5BB6"/>
    <w:rsid w:val="007047BC"/>
    <w:rsid w:val="007613A7"/>
    <w:rsid w:val="008373FD"/>
    <w:rsid w:val="00856E08"/>
    <w:rsid w:val="008E1412"/>
    <w:rsid w:val="00A34DE2"/>
    <w:rsid w:val="00B229F4"/>
    <w:rsid w:val="00B50B5C"/>
    <w:rsid w:val="00B95F0D"/>
    <w:rsid w:val="00C0692E"/>
    <w:rsid w:val="00C65C88"/>
    <w:rsid w:val="00D062BD"/>
    <w:rsid w:val="00D339C8"/>
    <w:rsid w:val="00D65DCE"/>
    <w:rsid w:val="00E1252A"/>
    <w:rsid w:val="00E46C99"/>
    <w:rsid w:val="00E91D2B"/>
    <w:rsid w:val="00EA19C6"/>
    <w:rsid w:val="00EB1B41"/>
    <w:rsid w:val="00EC7B24"/>
    <w:rsid w:val="00FC10F1"/>
    <w:rsid w:val="016E16FF"/>
    <w:rsid w:val="09D67F37"/>
    <w:rsid w:val="0D6D5B7A"/>
    <w:rsid w:val="16425208"/>
    <w:rsid w:val="166F5793"/>
    <w:rsid w:val="17AB310A"/>
    <w:rsid w:val="19611779"/>
    <w:rsid w:val="1C0376D0"/>
    <w:rsid w:val="1D773548"/>
    <w:rsid w:val="20432274"/>
    <w:rsid w:val="244733B3"/>
    <w:rsid w:val="26AE284F"/>
    <w:rsid w:val="26E638F3"/>
    <w:rsid w:val="2CEC5414"/>
    <w:rsid w:val="32AA6C10"/>
    <w:rsid w:val="35082603"/>
    <w:rsid w:val="3571518A"/>
    <w:rsid w:val="35EE4432"/>
    <w:rsid w:val="3A34567F"/>
    <w:rsid w:val="3C6748E4"/>
    <w:rsid w:val="3E6401E6"/>
    <w:rsid w:val="44310FF3"/>
    <w:rsid w:val="444C6BF8"/>
    <w:rsid w:val="455525CD"/>
    <w:rsid w:val="47D96DE2"/>
    <w:rsid w:val="52C873FE"/>
    <w:rsid w:val="58333480"/>
    <w:rsid w:val="5991013F"/>
    <w:rsid w:val="5D0C70BB"/>
    <w:rsid w:val="61BA790C"/>
    <w:rsid w:val="63292674"/>
    <w:rsid w:val="67FC12C5"/>
    <w:rsid w:val="68D96758"/>
    <w:rsid w:val="6CAC78DB"/>
    <w:rsid w:val="6D4907E0"/>
    <w:rsid w:val="71C4312D"/>
    <w:rsid w:val="722A7878"/>
    <w:rsid w:val="7A443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alloon Text"/>
    <w:basedOn w:val="1"/>
    <w:link w:val="20"/>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spacing w:after="120" w:afterLines="0"/>
      <w:ind w:left="420" w:leftChars="200"/>
    </w:pPr>
    <w:rPr>
      <w:sz w:val="16"/>
      <w:szCs w:val="16"/>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page number"/>
    <w:basedOn w:val="11"/>
    <w:autoRedefine/>
    <w:qFormat/>
    <w:uiPriority w:val="0"/>
  </w:style>
  <w:style w:type="character" w:styleId="14">
    <w:name w:val="Hyperlink"/>
    <w:basedOn w:val="11"/>
    <w:autoRedefine/>
    <w:qFormat/>
    <w:uiPriority w:val="0"/>
    <w:rPr>
      <w:color w:val="0000FF"/>
      <w:u w:val="single"/>
    </w:rPr>
  </w:style>
  <w:style w:type="character" w:customStyle="1" w:styleId="15">
    <w:name w:val="fontstyle01"/>
    <w:basedOn w:val="11"/>
    <w:autoRedefine/>
    <w:qFormat/>
    <w:uiPriority w:val="0"/>
    <w:rPr>
      <w:rFonts w:ascii="FZS3JW--GB1-0" w:hAnsi="FZS3JW--GB1-0" w:eastAsia="FZS3JW--GB1-0" w:cs="FZS3JW--GB1-0"/>
      <w:color w:val="231F20"/>
      <w:sz w:val="20"/>
      <w:szCs w:val="20"/>
    </w:rPr>
  </w:style>
  <w:style w:type="character" w:customStyle="1" w:styleId="16">
    <w:name w:val="fontstyle11"/>
    <w:basedOn w:val="11"/>
    <w:autoRedefine/>
    <w:qFormat/>
    <w:uiPriority w:val="0"/>
    <w:rPr>
      <w:rFonts w:ascii="TimesNewRomanPSMT" w:hAnsi="TimesNewRomanPSMT" w:eastAsia="TimesNewRomanPSMT" w:cs="TimesNewRomanPSMT"/>
      <w:color w:val="312F30"/>
      <w:sz w:val="20"/>
      <w:szCs w:val="20"/>
    </w:rPr>
  </w:style>
  <w:style w:type="character" w:customStyle="1" w:styleId="17">
    <w:name w:val="fontstyle21"/>
    <w:basedOn w:val="11"/>
    <w:autoRedefine/>
    <w:qFormat/>
    <w:uiPriority w:val="0"/>
    <w:rPr>
      <w:rFonts w:ascii="FZKTK--GBK1-0" w:hAnsi="FZKTK--GBK1-0" w:eastAsia="FZKTK--GBK1-0" w:cs="FZKTK--GBK1-0"/>
      <w:color w:val="231F20"/>
      <w:sz w:val="20"/>
      <w:szCs w:val="20"/>
    </w:rPr>
  </w:style>
  <w:style w:type="character" w:customStyle="1" w:styleId="18">
    <w:name w:val="页眉 字符"/>
    <w:basedOn w:val="11"/>
    <w:link w:val="6"/>
    <w:autoRedefine/>
    <w:qFormat/>
    <w:uiPriority w:val="0"/>
    <w:rPr>
      <w:rFonts w:asciiTheme="minorHAnsi" w:hAnsiTheme="minorHAnsi" w:eastAsiaTheme="minorEastAsia" w:cstheme="minorBidi"/>
      <w:kern w:val="2"/>
      <w:sz w:val="18"/>
      <w:szCs w:val="18"/>
    </w:rPr>
  </w:style>
  <w:style w:type="paragraph" w:styleId="19">
    <w:name w:val="List Paragraph"/>
    <w:basedOn w:val="1"/>
    <w:autoRedefine/>
    <w:qFormat/>
    <w:uiPriority w:val="99"/>
    <w:pPr>
      <w:ind w:firstLine="420" w:firstLineChars="200"/>
    </w:pPr>
  </w:style>
  <w:style w:type="character" w:customStyle="1" w:styleId="20">
    <w:name w:val="批注框文本 字符"/>
    <w:basedOn w:val="11"/>
    <w:link w:val="4"/>
    <w:autoRedefine/>
    <w:qFormat/>
    <w:uiPriority w:val="0"/>
    <w:rPr>
      <w:rFonts w:asciiTheme="minorHAnsi" w:hAnsiTheme="minorHAnsi" w:eastAsiaTheme="minorEastAsia" w:cstheme="minorBidi"/>
      <w:kern w:val="2"/>
      <w:sz w:val="18"/>
      <w:szCs w:val="18"/>
    </w:rPr>
  </w:style>
  <w:style w:type="character" w:customStyle="1" w:styleId="21">
    <w:name w:val="Unresolved Mention"/>
    <w:basedOn w:val="11"/>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1668</Words>
  <Characters>1738</Characters>
  <Lines>14</Lines>
  <Paragraphs>3</Paragraphs>
  <TotalTime>3</TotalTime>
  <ScaleCrop>false</ScaleCrop>
  <LinksUpToDate>false</LinksUpToDate>
  <CharactersWithSpaces>1886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2020-09-05T02:12:00Z</dcterms:created>
  <dc:creator>Administrator</dc:creator>
  <cp:lastModifiedBy>教务处</cp:lastModifiedBy>
  <cp:lastPrinted>2023-04-04T03:57:00Z</cp:lastPrinted>
  <dcterms:modified xsi:type="dcterms:W3CDTF">2024-02-29T07:54:15Z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0D6066C7E8694BB98DAF18EB843064EE</vt:lpwstr>
  </property>
</Properties>
</file>