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color w:val="auto"/>
          <w:sz w:val="24"/>
          <w:szCs w:val="24"/>
        </w:rPr>
      </w:pPr>
      <w:r>
        <w:rPr>
          <w:rFonts w:hint="eastAsia"/>
          <w:color w:val="auto"/>
          <w:sz w:val="24"/>
          <w:szCs w:val="24"/>
        </w:rPr>
        <w:t>教务〔202</w:t>
      </w:r>
      <w:r>
        <w:rPr>
          <w:rFonts w:hint="eastAsia"/>
          <w:color w:val="auto"/>
          <w:sz w:val="24"/>
          <w:szCs w:val="24"/>
          <w:lang w:val="en-US" w:eastAsia="zh-CN"/>
        </w:rPr>
        <w:t>2</w:t>
      </w:r>
      <w:r>
        <w:rPr>
          <w:rFonts w:hint="eastAsia"/>
          <w:color w:val="auto"/>
          <w:sz w:val="24"/>
          <w:szCs w:val="24"/>
        </w:rPr>
        <w:t>〕</w:t>
      </w:r>
      <w:r>
        <w:rPr>
          <w:rFonts w:hint="eastAsia"/>
          <w:color w:val="auto"/>
          <w:sz w:val="24"/>
          <w:szCs w:val="24"/>
          <w:lang w:val="en-US" w:eastAsia="zh-CN"/>
        </w:rPr>
        <w:t>26</w:t>
      </w:r>
      <w:r>
        <w:rPr>
          <w:rFonts w:hint="eastAsia"/>
          <w:color w:val="auto"/>
          <w:sz w:val="24"/>
          <w:szCs w:val="24"/>
        </w:rPr>
        <w:t>号</w:t>
      </w:r>
    </w:p>
    <w:p>
      <w:pPr>
        <w:jc w:val="center"/>
        <w:rPr>
          <w:rFonts w:hint="eastAsia"/>
          <w:color w:val="auto"/>
          <w:sz w:val="28"/>
          <w:szCs w:val="28"/>
        </w:rPr>
      </w:pPr>
    </w:p>
    <w:p>
      <w:pPr>
        <w:widowControl w:val="0"/>
        <w:ind w:firstLine="0"/>
        <w:jc w:val="center"/>
        <w:rPr>
          <w:rStyle w:val="7"/>
          <w:rFonts w:hint="eastAsia" w:ascii="宋体" w:hAnsi="宋体" w:eastAsia="宋体" w:cs="宋体"/>
          <w:bCs/>
          <w:i w:val="0"/>
          <w:caps w:val="0"/>
          <w:color w:val="333333"/>
          <w:spacing w:val="0"/>
          <w:kern w:val="2"/>
          <w:sz w:val="31"/>
          <w:szCs w:val="31"/>
          <w:shd w:val="clear" w:fill="FFFFFF"/>
          <w:vertAlign w:val="baseline"/>
          <w:lang w:eastAsia="zh-CN" w:bidi="ar-SA"/>
        </w:rPr>
      </w:pPr>
      <w:r>
        <w:rPr>
          <w:rStyle w:val="7"/>
          <w:rFonts w:hint="eastAsia" w:ascii="宋体" w:hAnsi="宋体" w:eastAsia="宋体" w:cs="宋体"/>
          <w:bCs/>
          <w:i w:val="0"/>
          <w:caps w:val="0"/>
          <w:color w:val="333333"/>
          <w:spacing w:val="0"/>
          <w:kern w:val="2"/>
          <w:sz w:val="31"/>
          <w:szCs w:val="31"/>
          <w:shd w:val="clear" w:fill="FFFFFF"/>
          <w:vertAlign w:val="baseline"/>
          <w:lang w:eastAsia="zh-CN" w:bidi="ar-SA"/>
        </w:rPr>
        <w:t>关于做好我校2022年本科师范生教育教学能力考核的通知</w:t>
      </w:r>
    </w:p>
    <w:p>
      <w:pPr>
        <w:widowControl w:val="0"/>
        <w:spacing w:line="360" w:lineRule="auto"/>
        <w:ind w:firstLine="0"/>
        <w:rPr>
          <w:rFonts w:ascii="方正小标宋简体" w:hAnsi="仿宋_GB2312" w:eastAsia="方正小标宋简体" w:cs="仿宋_GB2312"/>
          <w:kern w:val="2"/>
          <w:sz w:val="18"/>
          <w:szCs w:val="18"/>
          <w:lang w:eastAsia="zh-CN" w:bidi="ar-SA"/>
        </w:rPr>
      </w:pPr>
    </w:p>
    <w:p>
      <w:pPr>
        <w:widowControl w:val="0"/>
        <w:spacing w:line="360" w:lineRule="auto"/>
        <w:ind w:left="0" w:leftChars="0" w:firstLine="0" w:firstLineChars="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各学院（部）：</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根据《教育部关于印发&lt;教育类研究生和公费师范生免试认定中小学教师资格改革实施方案&gt;的通知》（教师函〔2020〕5号）、《教育部关于推进师范生免试认定中小学教师资格改革的通知》（教师函〔2022〕1号）和《自治区教育厅转发教育部关于推进师范生免试认定中小学教师资格改革的通知》（桂教师范〔2022〕2号）等文件精神，决定开展我校2022年本科师范生教育教学能力考核工作，现将有关事项通知如下:</w:t>
      </w:r>
    </w:p>
    <w:p>
      <w:pPr>
        <w:widowControl w:val="0"/>
        <w:spacing w:line="360" w:lineRule="auto"/>
        <w:ind w:firstLine="482" w:firstLineChars="200"/>
        <w:jc w:val="left"/>
        <w:rPr>
          <w:rFonts w:hint="eastAsia" w:ascii="黑体" w:hAnsi="黑体" w:eastAsia="黑体" w:cs="黑体"/>
          <w:b/>
          <w:bCs/>
          <w:color w:val="auto"/>
          <w:kern w:val="2"/>
          <w:sz w:val="24"/>
          <w:szCs w:val="24"/>
          <w:lang w:eastAsia="zh-CN" w:bidi="ar-SA"/>
        </w:rPr>
      </w:pPr>
      <w:r>
        <w:rPr>
          <w:rFonts w:hint="eastAsia" w:ascii="黑体" w:hAnsi="黑体" w:eastAsia="黑体" w:cs="黑体"/>
          <w:b/>
          <w:bCs/>
          <w:color w:val="auto"/>
          <w:kern w:val="2"/>
          <w:sz w:val="24"/>
          <w:szCs w:val="24"/>
          <w:lang w:eastAsia="zh-CN" w:bidi="ar-SA"/>
        </w:rPr>
        <w:t>一、考核对象</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我校本年度参加免试认定改革的本科师范生（以下简称师范生），是指教育部根据对高校师范类专业办学条件和办学质量审核结果，划定的我校2022年起可以参加免试认定改革的本科师范专业的2022届学生。</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根据自愿原则，纳入免试认定改革范围的师范生也可不申请参加学校教育教学能力考核，自行参加国家中小学教师资格考试，申请认定相应的教师资格。</w:t>
      </w:r>
    </w:p>
    <w:p>
      <w:pPr>
        <w:widowControl w:val="0"/>
        <w:spacing w:line="360" w:lineRule="auto"/>
        <w:ind w:firstLine="482" w:firstLineChars="200"/>
        <w:jc w:val="left"/>
        <w:rPr>
          <w:rFonts w:hint="eastAsia" w:ascii="黑体" w:hAnsi="黑体" w:eastAsia="黑体" w:cs="黑体"/>
          <w:b/>
          <w:bCs/>
          <w:color w:val="auto"/>
          <w:kern w:val="2"/>
          <w:sz w:val="24"/>
          <w:szCs w:val="24"/>
          <w:lang w:eastAsia="zh-CN" w:bidi="ar-SA"/>
        </w:rPr>
      </w:pPr>
      <w:r>
        <w:rPr>
          <w:rFonts w:hint="eastAsia" w:ascii="黑体" w:hAnsi="黑体" w:eastAsia="黑体" w:cs="黑体"/>
          <w:b/>
          <w:bCs/>
          <w:color w:val="auto"/>
          <w:kern w:val="2"/>
          <w:sz w:val="24"/>
          <w:szCs w:val="24"/>
          <w:lang w:eastAsia="zh-CN" w:bidi="ar-SA"/>
        </w:rPr>
        <w:t>二、考核可申请的任教学段和任教学科</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师范生可申请的免试认定教师资格任教学段及任教学科，由学校根据专业培养目标进行确定。师范生申请规定任教学段和任教学科外的教师资格，需要自行参加国家中小学教师资格统一考试，申请认定相应的教师资格。</w:t>
      </w:r>
    </w:p>
    <w:p>
      <w:pPr>
        <w:widowControl w:val="0"/>
        <w:spacing w:line="360" w:lineRule="auto"/>
        <w:ind w:firstLine="482" w:firstLineChars="200"/>
        <w:jc w:val="left"/>
        <w:rPr>
          <w:rFonts w:hint="eastAsia" w:ascii="黑体" w:hAnsi="黑体" w:eastAsia="黑体" w:cs="黑体"/>
          <w:b/>
          <w:bCs/>
          <w:color w:val="auto"/>
          <w:kern w:val="2"/>
          <w:sz w:val="24"/>
          <w:szCs w:val="24"/>
          <w:lang w:eastAsia="zh-CN" w:bidi="ar-SA"/>
        </w:rPr>
      </w:pPr>
      <w:r>
        <w:rPr>
          <w:rFonts w:hint="eastAsia" w:ascii="黑体" w:hAnsi="黑体" w:eastAsia="黑体" w:cs="黑体"/>
          <w:b/>
          <w:bCs/>
          <w:color w:val="auto"/>
          <w:kern w:val="2"/>
          <w:sz w:val="24"/>
          <w:szCs w:val="24"/>
          <w:lang w:eastAsia="zh-CN" w:bidi="ar-SA"/>
        </w:rPr>
        <w:t>三、考核方式及内容</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教育教学能力考核包括培养过程性考核和教师职业能力测试。</w:t>
      </w:r>
    </w:p>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（一）培养过程性考核</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培养过程性考核重点考核以下四方面内容，四项考核结果全部合格，方为培养过程性考核合格。</w:t>
      </w:r>
    </w:p>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1.思想品德及师德素养</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思想品德及师德素养主要依据《普通高等学校学生管理规定（修订）》和《教育部办公室厅关于印发&lt;中学教育专业师范生教师职业能力标准（试行）&gt;等五个文件的通知》精神，考核师范生在校期间参加学校思想政治教育、师德教育活动情况及在教育实习实践期间的思想品德、师德素养表现。对于触犯国家法律法规或违反校纪校规，受到记过及以上等级处分的师范生实行一票否决制。</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考核的一般流程为个人自评、班级民主评议、各学院（部）审定、结果上报。考核分为“合格”、“不合格”两个等次。根据具体考核评价指标，填写《广西师范大学师范生思想品德及师德素养考核鉴定表》（见附件1）。</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考核由学生工作部（处）牵头，各学院（部）具体组织实施。</w:t>
      </w:r>
    </w:p>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2.教师教育课程学业成绩</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参照《广西师范大学教师教育课程设置方案》中“教师发展基础课程”“教师发展学科课程”模块，完成人才培养方案规定的相应课程。每门课程均达到60分及以上者教师教育课程学业成绩考核认定为合格。若其中1门课程成绩＜60分，考核认定为不合格。</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考核由教务处牵头，各学院（部）具体组织实施。</w:t>
      </w:r>
    </w:p>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3.教育实习实践</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bookmarkStart w:id="0" w:name="_Hlk97717263"/>
      <w:r>
        <w:rPr>
          <w:rFonts w:hint="eastAsia" w:ascii="宋体" w:hAnsi="宋体" w:eastAsia="宋体" w:cs="宋体"/>
          <w:color w:val="auto"/>
          <w:kern w:val="2"/>
          <w:sz w:val="24"/>
          <w:szCs w:val="24"/>
          <w:lang w:eastAsia="zh-CN" w:bidi="ar-SA"/>
        </w:rPr>
        <w:t>通过教育见习、实习、研习等多种形式，全面考核师范生教育实习实践情况。确保教育实习实践时间累计不少于一学期，《教育见习手册》《教育实习手册》《教育研习手册》填写完整，且师范生教育见习、实习、研习成绩均达到60分及以上，则教育实习实践考核认定为合格。若其中1项条件未达到或“三习”中1项成绩＜60分，考核认定为不合格。</w:t>
      </w:r>
    </w:p>
    <w:bookmarkEnd w:id="0"/>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教育实习实践应由各学院（部）在中小学校组织开展。学前教育、小学教育相关专业，教育实习实践应在相应学段进行。特殊教育、中等职业教育相关专业，教育实习实践应在相应类别学校进行。</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考核由教务处牵头，各学院（部）具体组织实施。</w:t>
      </w:r>
    </w:p>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4.专业能力及技能培训</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全面考核师范生专业能力及技能培训情况，考核包括教师职业技能训练和教学能力测试两方面内容。</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bookmarkStart w:id="1" w:name="_Hlk98398552"/>
      <w:r>
        <w:rPr>
          <w:rFonts w:hint="eastAsia" w:ascii="宋体" w:hAnsi="宋体" w:eastAsia="宋体" w:cs="宋体"/>
          <w:color w:val="auto"/>
          <w:kern w:val="2"/>
          <w:sz w:val="24"/>
          <w:szCs w:val="24"/>
          <w:lang w:eastAsia="zh-CN" w:bidi="ar-SA"/>
        </w:rPr>
        <w:t>（1）教师职业技能训练</w:t>
      </w:r>
    </w:p>
    <w:bookmarkEnd w:id="1"/>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参照《广西师范大学教师教育课程设置方案》中“教师发展实践课程”模块，完成教师职业技能训练（一）（二）或教师职业技能训练（一）（二）（三），每门课程成绩均达到60分及以上者教师职业技能训练考核认定为合格。若其中1门课程成绩＜60分，考核认定为不合格。</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（2）教学能力测试</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教学能力测试总分为100分，含“课堂教学设计”35分、“课件制作”20分、“模拟上课·板书”45分共三项考核内容。根据各项评分标准进行评分，“模拟上课·板书”单项成绩≥27分，且三项合计成绩≥60分，教学能力测试结果认定为合格。</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其中，学生根据自己制作的课堂教学设计、课件，进行不少于10分钟的模拟上课·板书，各学院（部）须对“模拟上课·板书”环节进行全过程录像，并将课堂教学设计、课件制作、模拟上课视频进行存档。根据教学能力测试情况，填写《广西师范大学师范生教学能力测试鉴定表》（见附件2）。</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师范生参加教学能力测试的任教学段、任教学科须与申请免试认定的任教学段、任教学科一致。若师范生已参加学院（部）组织的实习前教师专业技能考核的任教学段、任教学科与申请免试认定的任教学段、任教学科一致，该成绩可作为教学能力测试成绩。</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教师职业技能训练、教学能力测试2项均合格者认定为专业能力及技能培训考核合格。若其中1项不合格，考核认定为不合格。</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bookmarkStart w:id="2" w:name="_Hlk97719016"/>
      <w:r>
        <w:rPr>
          <w:rFonts w:hint="eastAsia" w:ascii="宋体" w:hAnsi="宋体" w:eastAsia="宋体" w:cs="宋体"/>
          <w:color w:val="auto"/>
          <w:kern w:val="2"/>
          <w:sz w:val="24"/>
          <w:szCs w:val="24"/>
          <w:lang w:eastAsia="zh-CN" w:bidi="ar-SA"/>
        </w:rPr>
        <w:t>考核由教务处牵头，各学院（部）具体组织实施。</w:t>
      </w:r>
    </w:p>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（二）教师职业能力测试</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教师职业能力测试分为笔试和面试。</w:t>
      </w:r>
    </w:p>
    <w:bookmarkEnd w:id="2"/>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1. 笔试</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笔试根据国家教师资格考试标准和大纲，对教育教学能力进行综合测试。申请任教学段为幼儿园的需参加《教育综合素质与能力（幼儿园）》考试；申请任教学段为小学的需参加《教育综合素质与能力（小学）》考试；申请任教学段为初级中学、高级中学、中职文化课的需参加《教育综合素质与能力（中学）》《学科知识与教学能力（ＸＸ，与国家中小学教师资格考试笔试科目三的考试科目要求一致）》考试；申请任教学段为中职专业课的需参加《教育综合素质与能力（中学）》考试。学校统一组织命题，命题专家包含校内外教师教育专家、一线中小学教师和校长等，确保命题工作公平、公正、有序。测试结束后由学校统一组织阅卷。</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bookmarkStart w:id="3" w:name="OLE_LINK2"/>
      <w:bookmarkStart w:id="4" w:name="OLE_LINK1"/>
      <w:r>
        <w:rPr>
          <w:rFonts w:hint="eastAsia" w:ascii="宋体" w:hAnsi="宋体" w:eastAsia="宋体" w:cs="宋体"/>
          <w:color w:val="auto"/>
          <w:kern w:val="2"/>
          <w:sz w:val="24"/>
          <w:szCs w:val="24"/>
          <w:lang w:eastAsia="zh-CN" w:bidi="ar-SA"/>
        </w:rPr>
        <w:t>已参加国家中小学教师资格考试且所有笔试科目成绩合格者，如其参加的笔试学段和科目与所学专业培养目标一致，可视为教师职业能力测试笔试合格。</w:t>
      </w:r>
    </w:p>
    <w:bookmarkEnd w:id="3"/>
    <w:bookmarkEnd w:id="4"/>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2. 面试</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面试由各学院（部）结合培养过程性考核统一组织认定，培养过程性考核合格者视为教师职业能力测试面试合格。</w:t>
      </w:r>
    </w:p>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（三）颁发《师范生教师职业能力证书》</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培养过程性考核和教师职业能力测试全部合格，方为师范生教育教学能力考核合格，考核合格者颁发《师范生教师职业能力证书》，有效期3年，内容包含思想品德及师德情况、任教学段和任教学科、有效期起止时间等。</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《师范生教师职业能力证书》是师范生免试认定教师资格的依据，免试认定的教师资格种类和任教学科应与《师范生教师职业能力证书》上的任教学段和任教学科相同。</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师范生在我校同一学历层次学习期间，仅可获取一本《师范生教师职业能力证书》。《师范生教师职业能力证书》在有效期内只可使用一次，如申请认定其他学段和学科教师资格，不予免试，须参加国家中小学教师资格考试。</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取得《师范生教师职业能力证书》的师范生，凭身份证明、学历证书、《师范生教师职业能力证书》、普通话水平测试等级证书、体检合格证明等材料申请认定相应的教师资格，认定程序不变。可以电子核查的无须提供纸质原件。</w:t>
      </w:r>
    </w:p>
    <w:p>
      <w:pPr>
        <w:widowControl w:val="0"/>
        <w:spacing w:line="360" w:lineRule="auto"/>
        <w:ind w:firstLine="482" w:firstLineChars="200"/>
        <w:jc w:val="left"/>
        <w:rPr>
          <w:rFonts w:hint="eastAsia" w:ascii="黑体" w:hAnsi="黑体" w:eastAsia="黑体" w:cs="黑体"/>
          <w:b/>
          <w:bCs/>
          <w:color w:val="auto"/>
          <w:kern w:val="2"/>
          <w:sz w:val="24"/>
          <w:szCs w:val="24"/>
          <w:lang w:eastAsia="zh-CN" w:bidi="ar-SA"/>
        </w:rPr>
      </w:pPr>
      <w:r>
        <w:rPr>
          <w:rFonts w:hint="eastAsia" w:ascii="黑体" w:hAnsi="黑体" w:eastAsia="黑体" w:cs="黑体"/>
          <w:b/>
          <w:bCs/>
          <w:color w:val="auto"/>
          <w:kern w:val="2"/>
          <w:sz w:val="24"/>
          <w:szCs w:val="24"/>
          <w:lang w:eastAsia="zh-CN" w:bidi="ar-SA"/>
        </w:rPr>
        <w:t>四、考核工作安排</w:t>
      </w:r>
    </w:p>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（一）各学院（部）成立师范生免试认定中小学教师资格改革工作办公室</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请各学院（部）根据《</w:t>
      </w:r>
      <w:r>
        <w:rPr>
          <w:rFonts w:hint="eastAsia" w:ascii="宋体" w:hAnsi="宋体" w:eastAsia="宋体" w:cs="宋体"/>
          <w:color w:val="auto"/>
          <w:kern w:val="2"/>
          <w:sz w:val="24"/>
          <w:szCs w:val="24"/>
          <w:lang w:eastAsia="zh-CN" w:bidi="ar-SA"/>
        </w:rPr>
        <w:fldChar w:fldCharType="begin"/>
      </w:r>
      <w:r>
        <w:rPr>
          <w:rFonts w:hint="eastAsia" w:ascii="宋体" w:hAnsi="宋体" w:eastAsia="宋体" w:cs="宋体"/>
          <w:color w:val="auto"/>
          <w:kern w:val="2"/>
          <w:sz w:val="24"/>
          <w:szCs w:val="24"/>
          <w:lang w:eastAsia="zh-CN" w:bidi="ar-SA"/>
        </w:rPr>
        <w:instrText xml:space="preserve"> HYPERLINK "javascript:openFullWindowForXtable(%22/spa/document/index.jsp?id=180496&amp;router=1" \l "/main/document/detail" </w:instrText>
      </w:r>
      <w:r>
        <w:rPr>
          <w:rFonts w:hint="eastAsia" w:ascii="宋体" w:hAnsi="宋体" w:eastAsia="宋体" w:cs="宋体"/>
          <w:color w:val="auto"/>
          <w:kern w:val="2"/>
          <w:sz w:val="24"/>
          <w:szCs w:val="24"/>
          <w:lang w:eastAsia="zh-CN" w:bidi="ar-SA"/>
        </w:rPr>
        <w:fldChar w:fldCharType="separate"/>
      </w:r>
      <w:r>
        <w:rPr>
          <w:rFonts w:hint="eastAsia" w:ascii="宋体" w:hAnsi="宋体" w:eastAsia="宋体" w:cs="宋体"/>
          <w:color w:val="auto"/>
          <w:kern w:val="2"/>
          <w:sz w:val="24"/>
          <w:szCs w:val="24"/>
          <w:lang w:eastAsia="zh-CN" w:bidi="ar-SA"/>
        </w:rPr>
        <w:t>关于成立广西师范大学师范生免试认定中小学教师资格改革工作领导小组的通知</w:t>
      </w:r>
      <w:r>
        <w:rPr>
          <w:rFonts w:hint="eastAsia" w:ascii="宋体" w:hAnsi="宋体" w:eastAsia="宋体" w:cs="宋体"/>
          <w:color w:val="auto"/>
          <w:kern w:val="2"/>
          <w:sz w:val="24"/>
          <w:szCs w:val="24"/>
          <w:lang w:eastAsia="zh-CN" w:bidi="ar-SA"/>
        </w:rPr>
        <w:fldChar w:fldCharType="end"/>
      </w:r>
      <w:r>
        <w:rPr>
          <w:rFonts w:hint="eastAsia" w:ascii="宋体" w:hAnsi="宋体" w:eastAsia="宋体" w:cs="宋体"/>
          <w:color w:val="auto"/>
          <w:kern w:val="2"/>
          <w:sz w:val="24"/>
          <w:szCs w:val="24"/>
          <w:lang w:eastAsia="zh-CN" w:bidi="ar-SA"/>
        </w:rPr>
        <w:t>》（师政教学[2022]16号）文件要求，成立本学院（部）师范生免试认定中小学教师资格改革工作办公室，并于4月6日前将办公室成员名单及分工（电子版）发送至邮箱jwckwk@mailbox.gxnu.edu.cn。</w:t>
      </w:r>
    </w:p>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（二）各学院（部）开展报名资格审核</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审核时间：2022年4月1日至4月3日。</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审核方式：在“广西师范大学师范生免试认定工作平台”开展本学院（部）学生报名资格审核，平台操作方法另行通知。</w:t>
      </w:r>
    </w:p>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（三）各学院（部）组织学生报名</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报名时间：2022年4月4日至4月6日。</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报名方式：组织学生在“广西师范大学师范生免试认定工作平台”开展个人信息审核和报名，平台操作方法另行通知。</w:t>
      </w:r>
    </w:p>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（四）各学院（部）组织培养过程性考核</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考核时间：2022年4月7日－22日</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1.由学院（部）统一在系统中填写学生的教育实习实践信息，包括“教育实习实践组织方式”、“教育实习实践地点”。</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2.组织开展培养过程性考核，重点考核思想品德及师德素养、教师教育课程学业成绩、教育实习实践、专业能力及技能培训。</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3.将考核结果在学院（部）内进行公示（至少3天）。</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4.将考核结果记录在《广西师范大学师范生教育教学能力培养过程性考核鉴定表》（见附件3）。</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5. 4月22日前，各学院（部）在系统中完成培养过程性考核结果上报工作，打印系统生成的《广西师范大学师范生教育教学能力培养过程性考核鉴定结果汇总表》（见附件4），签字、盖章后报送教务处教育实践办公室（育才校办楼120室、雁山行政北楼561室）。</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附件1-4、《教育见习手册》《教育实习手册》《教育研习手册》、教学能力测试课堂教学设计、课件、视频等材料作为师范生教育教学能力培养过程性考核的档案材料，由各学院（部）存档备查，存档时间至少三年。附件4同时交教务处教育实践办公室统一送学校档案馆存档。</w:t>
      </w:r>
    </w:p>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（五）学校统一组织教师职业能力测试笔试</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教师职业能力测试笔试拟定于2022年4月23日（周六）进行。具体工作安排及考场安排另行通知。</w:t>
      </w:r>
    </w:p>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（六）汇总数据上报</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学校根据考核结果，审核确定教育教学能力考核合格者名单并进行公示，按要求报送广西壮族自治区教育厅，颁发《师范生教师职业能力证书》。</w:t>
      </w:r>
    </w:p>
    <w:p>
      <w:pPr>
        <w:widowControl w:val="0"/>
        <w:spacing w:line="360" w:lineRule="auto"/>
        <w:ind w:firstLine="482" w:firstLineChars="200"/>
        <w:jc w:val="left"/>
        <w:rPr>
          <w:rFonts w:hint="eastAsia" w:ascii="黑体" w:hAnsi="黑体" w:eastAsia="黑体" w:cs="黑体"/>
          <w:b/>
          <w:bCs/>
          <w:color w:val="auto"/>
          <w:kern w:val="2"/>
          <w:sz w:val="24"/>
          <w:szCs w:val="24"/>
          <w:lang w:eastAsia="zh-CN" w:bidi="ar-SA"/>
        </w:rPr>
      </w:pPr>
      <w:r>
        <w:rPr>
          <w:rFonts w:hint="eastAsia" w:ascii="黑体" w:hAnsi="黑体" w:eastAsia="黑体" w:cs="黑体"/>
          <w:b/>
          <w:bCs/>
          <w:color w:val="auto"/>
          <w:kern w:val="2"/>
          <w:sz w:val="24"/>
          <w:szCs w:val="24"/>
          <w:lang w:eastAsia="zh-CN" w:bidi="ar-SA"/>
        </w:rPr>
        <w:t>五、工作要求</w:t>
      </w:r>
    </w:p>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（一）提高站位，强化建设</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师范生免试认定中小学教师资格改革是深化教育领域“放管服”改革的重要举措，全体工作人员要提高政治站位，认真履行职责。各学院（部）要强化管理，加强师范类专业建设，把国家中小学教师资格考试标准和大纲融入到日常教学、学业考试和相关培训中，不断提高师范生培养质量。</w:t>
      </w:r>
    </w:p>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（二）严格考核，严肃追责</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学校各相关职能部门和各学院（部）要严肃工作纪律，不得随意扩大免试认定范围，严禁弄虚作假，确保考核结果真实、公平、准确。实行回避制度，凡有直系亲属或者利害关系人参加本次师范生免试认定教师资格的，工作人员本人应当主动申请回避，不得参加命题、评卷、面试等工作。在免试认定改革工作中玩忽职守、徇私舞弊的，学校将依法依规严肃处理，追究主要负责人和相关人员责任。</w:t>
      </w:r>
    </w:p>
    <w:p>
      <w:pPr>
        <w:widowControl w:val="0"/>
        <w:spacing w:line="360" w:lineRule="auto"/>
        <w:ind w:firstLine="482" w:firstLineChars="200"/>
        <w:jc w:val="left"/>
        <w:rPr>
          <w:rFonts w:hint="eastAsia" w:ascii="宋体" w:hAnsi="宋体" w:eastAsia="宋体" w:cs="宋体"/>
          <w:b/>
          <w:bCs/>
          <w:color w:val="auto"/>
          <w:kern w:val="2"/>
          <w:sz w:val="24"/>
          <w:szCs w:val="24"/>
          <w:lang w:eastAsia="zh-CN" w:bidi="ar-SA"/>
        </w:rPr>
      </w:pPr>
      <w:r>
        <w:rPr>
          <w:rFonts w:hint="eastAsia" w:ascii="宋体" w:hAnsi="宋体" w:eastAsia="宋体" w:cs="宋体"/>
          <w:b/>
          <w:bCs/>
          <w:color w:val="auto"/>
          <w:kern w:val="2"/>
          <w:sz w:val="24"/>
          <w:szCs w:val="24"/>
          <w:lang w:eastAsia="zh-CN" w:bidi="ar-SA"/>
        </w:rPr>
        <w:t>（三）数据准确，及时上报</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各学院（部）要根据要求及时在“广西师范大学师范生免试认定工作平台”上维护更新考核范围内师范生相关信息。教务处在高等教育学籍学历信息管理平台上动态维护师范生信息，及时报送获得《师范生教师职业能力证书》的师范生数据。</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附件：1</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lang w:eastAsia="zh-CN" w:bidi="ar-SA"/>
        </w:rPr>
        <w:t>师范生思想品德及师德素养考核评价指标、鉴定表</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lang w:eastAsia="zh-CN" w:bidi="ar-SA"/>
        </w:rPr>
        <w:t>2</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lang w:eastAsia="zh-CN" w:bidi="ar-SA"/>
        </w:rPr>
        <w:t>师范生教学能力测试</w:t>
      </w:r>
      <w:bookmarkStart w:id="5" w:name="_GoBack"/>
      <w:bookmarkEnd w:id="5"/>
      <w:r>
        <w:rPr>
          <w:rFonts w:hint="eastAsia" w:ascii="宋体" w:hAnsi="宋体" w:eastAsia="宋体" w:cs="宋体"/>
          <w:color w:val="auto"/>
          <w:kern w:val="2"/>
          <w:sz w:val="24"/>
          <w:szCs w:val="24"/>
          <w:lang w:eastAsia="zh-CN" w:bidi="ar-SA"/>
        </w:rPr>
        <w:t>评分标准、成绩汇总表</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lang w:eastAsia="zh-CN" w:bidi="ar-SA"/>
        </w:rPr>
        <w:t>3</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lang w:eastAsia="zh-CN" w:bidi="ar-SA"/>
        </w:rPr>
        <w:t>师范生教育教学能力培养过程性考核鉴定表</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val="en-US" w:eastAsia="zh-CN" w:bidi="ar-SA"/>
        </w:rPr>
        <w:t xml:space="preserve">      </w:t>
      </w:r>
      <w:r>
        <w:rPr>
          <w:rFonts w:hint="eastAsia" w:ascii="宋体" w:hAnsi="宋体" w:eastAsia="宋体" w:cs="宋体"/>
          <w:color w:val="auto"/>
          <w:kern w:val="2"/>
          <w:sz w:val="24"/>
          <w:szCs w:val="24"/>
          <w:lang w:eastAsia="zh-CN" w:bidi="ar-SA"/>
        </w:rPr>
        <w:t>4</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lang w:eastAsia="zh-CN" w:bidi="ar-SA"/>
        </w:rPr>
        <w:t>师范生教育教学能力培养过程性考核鉴定结果汇总表</w:t>
      </w:r>
    </w:p>
    <w:p>
      <w:pPr>
        <w:widowControl w:val="0"/>
        <w:spacing w:line="360" w:lineRule="auto"/>
        <w:ind w:firstLine="480" w:firstLineChars="200"/>
        <w:jc w:val="left"/>
        <w:rPr>
          <w:rFonts w:hint="eastAsia" w:ascii="宋体" w:hAnsi="宋体" w:eastAsia="宋体" w:cs="宋体"/>
          <w:color w:val="auto"/>
          <w:kern w:val="2"/>
          <w:sz w:val="24"/>
          <w:szCs w:val="24"/>
          <w:lang w:eastAsia="zh-CN" w:bidi="ar-SA"/>
        </w:rPr>
      </w:pPr>
    </w:p>
    <w:p>
      <w:pPr>
        <w:widowControl w:val="0"/>
        <w:spacing w:line="360" w:lineRule="auto"/>
        <w:ind w:firstLine="5760" w:firstLineChars="2400"/>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广西师范大学教务处</w:t>
      </w:r>
    </w:p>
    <w:p>
      <w:pPr>
        <w:widowControl w:val="0"/>
        <w:spacing w:line="360" w:lineRule="auto"/>
        <w:ind w:firstLine="5908" w:firstLineChars="2462"/>
        <w:jc w:val="left"/>
        <w:rPr>
          <w:rFonts w:hint="eastAsia" w:ascii="宋体" w:hAnsi="宋体" w:eastAsia="宋体" w:cs="宋体"/>
          <w:color w:val="auto"/>
          <w:kern w:val="2"/>
          <w:sz w:val="24"/>
          <w:szCs w:val="24"/>
          <w:lang w:eastAsia="zh-CN" w:bidi="ar-SA"/>
        </w:rPr>
      </w:pPr>
      <w:r>
        <w:rPr>
          <w:rFonts w:hint="eastAsia" w:ascii="宋体" w:hAnsi="宋体" w:eastAsia="宋体" w:cs="宋体"/>
          <w:color w:val="auto"/>
          <w:kern w:val="2"/>
          <w:sz w:val="24"/>
          <w:szCs w:val="24"/>
          <w:lang w:eastAsia="zh-CN" w:bidi="ar-SA"/>
        </w:rPr>
        <w:t>2022年4月1日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2FF"/>
    <w:rsid w:val="0013442C"/>
    <w:rsid w:val="001C1A0A"/>
    <w:rsid w:val="001F39B9"/>
    <w:rsid w:val="0020162A"/>
    <w:rsid w:val="00251FA9"/>
    <w:rsid w:val="00274C1E"/>
    <w:rsid w:val="00310A30"/>
    <w:rsid w:val="003A1251"/>
    <w:rsid w:val="003C7646"/>
    <w:rsid w:val="00421AD1"/>
    <w:rsid w:val="00436106"/>
    <w:rsid w:val="004640BF"/>
    <w:rsid w:val="00465349"/>
    <w:rsid w:val="00563FBB"/>
    <w:rsid w:val="00620E22"/>
    <w:rsid w:val="00647937"/>
    <w:rsid w:val="007045B7"/>
    <w:rsid w:val="00720EDA"/>
    <w:rsid w:val="00966FA9"/>
    <w:rsid w:val="00985169"/>
    <w:rsid w:val="00A102C6"/>
    <w:rsid w:val="00A31A5C"/>
    <w:rsid w:val="00A972FF"/>
    <w:rsid w:val="00AC4EC6"/>
    <w:rsid w:val="00B400B3"/>
    <w:rsid w:val="00B56BF2"/>
    <w:rsid w:val="00BA0DD7"/>
    <w:rsid w:val="00C23CDE"/>
    <w:rsid w:val="00C45CCD"/>
    <w:rsid w:val="00C72FB3"/>
    <w:rsid w:val="00CD1391"/>
    <w:rsid w:val="00CD3D8F"/>
    <w:rsid w:val="00D21EA0"/>
    <w:rsid w:val="00D83405"/>
    <w:rsid w:val="00DB0104"/>
    <w:rsid w:val="00E44085"/>
    <w:rsid w:val="00ED321D"/>
    <w:rsid w:val="0EB32812"/>
    <w:rsid w:val="5CDD4F33"/>
    <w:rsid w:val="5FA26B8E"/>
    <w:rsid w:val="7D462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firstLine="360"/>
    </w:pPr>
    <w:rPr>
      <w:rFonts w:asciiTheme="minorHAnsi" w:hAnsiTheme="minorHAnsi" w:eastAsiaTheme="minorEastAsia" w:cstheme="minorBidi"/>
      <w:sz w:val="22"/>
      <w:szCs w:val="22"/>
      <w:lang w:val="en-US" w:eastAsia="en-US" w:bidi="en-US"/>
    </w:rPr>
  </w:style>
  <w:style w:type="paragraph" w:styleId="2">
    <w:name w:val="heading 1"/>
    <w:basedOn w:val="1"/>
    <w:next w:val="1"/>
    <w:link w:val="11"/>
    <w:qFormat/>
    <w:uiPriority w:val="9"/>
    <w:pPr>
      <w:keepNext/>
      <w:keepLines/>
      <w:widowControl w:val="0"/>
      <w:spacing w:before="340" w:after="330" w:line="578" w:lineRule="auto"/>
      <w:ind w:firstLine="0"/>
      <w:jc w:val="both"/>
      <w:outlineLvl w:val="0"/>
    </w:pPr>
    <w:rPr>
      <w:rFonts w:ascii="Calibri" w:hAnsi="Calibri" w:eastAsia="宋体" w:cs="Times New Roman"/>
      <w:b/>
      <w:bCs/>
      <w:kern w:val="44"/>
      <w:sz w:val="44"/>
      <w:szCs w:val="44"/>
      <w:lang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uiPriority w:val="99"/>
    <w:pPr>
      <w:widowControl w:val="0"/>
      <w:tabs>
        <w:tab w:val="center" w:pos="4153"/>
        <w:tab w:val="right" w:pos="8306"/>
      </w:tabs>
      <w:snapToGrid w:val="0"/>
      <w:ind w:firstLine="0"/>
    </w:pPr>
    <w:rPr>
      <w:kern w:val="2"/>
      <w:sz w:val="18"/>
      <w:szCs w:val="18"/>
      <w:lang w:eastAsia="zh-CN" w:bidi="ar-SA"/>
    </w:rPr>
  </w:style>
  <w:style w:type="paragraph" w:styleId="4">
    <w:name w:val="header"/>
    <w:basedOn w:val="1"/>
    <w:link w:val="9"/>
    <w:unhideWhenUsed/>
    <w:qFormat/>
    <w:uiPriority w:val="99"/>
    <w:pPr>
      <w:widowControl w:val="0"/>
      <w:pBdr>
        <w:bottom w:val="single" w:color="auto" w:sz="6" w:space="1"/>
      </w:pBdr>
      <w:tabs>
        <w:tab w:val="center" w:pos="4153"/>
        <w:tab w:val="right" w:pos="8306"/>
      </w:tabs>
      <w:snapToGrid w:val="0"/>
      <w:ind w:firstLine="0"/>
      <w:jc w:val="center"/>
    </w:pPr>
    <w:rPr>
      <w:kern w:val="2"/>
      <w:sz w:val="18"/>
      <w:szCs w:val="18"/>
      <w:lang w:eastAsia="zh-CN" w:bidi="ar-SA"/>
    </w:rPr>
  </w:style>
  <w:style w:type="character" w:styleId="7">
    <w:name w:val="Strong"/>
    <w:basedOn w:val="6"/>
    <w:qFormat/>
    <w:uiPriority w:val="0"/>
    <w:rPr>
      <w:b/>
    </w:rPr>
  </w:style>
  <w:style w:type="character" w:styleId="8">
    <w:name w:val="Hyperlink"/>
    <w:basedOn w:val="6"/>
    <w:semiHidden/>
    <w:unhideWhenUsed/>
    <w:uiPriority w:val="99"/>
    <w:rPr>
      <w:color w:val="0000FF"/>
      <w:u w:val="single"/>
    </w:rPr>
  </w:style>
  <w:style w:type="character" w:customStyle="1" w:styleId="9">
    <w:name w:val="页眉 字符"/>
    <w:basedOn w:val="6"/>
    <w:link w:val="4"/>
    <w:qFormat/>
    <w:uiPriority w:val="99"/>
    <w:rPr>
      <w:sz w:val="18"/>
      <w:szCs w:val="18"/>
    </w:rPr>
  </w:style>
  <w:style w:type="character" w:customStyle="1" w:styleId="10">
    <w:name w:val="页脚 字符"/>
    <w:basedOn w:val="6"/>
    <w:link w:val="3"/>
    <w:uiPriority w:val="99"/>
    <w:rPr>
      <w:sz w:val="18"/>
      <w:szCs w:val="18"/>
    </w:rPr>
  </w:style>
  <w:style w:type="character" w:customStyle="1" w:styleId="11">
    <w:name w:val="标题 1 字符"/>
    <w:basedOn w:val="6"/>
    <w:link w:val="2"/>
    <w:uiPriority w:val="9"/>
    <w:rPr>
      <w:rFonts w:ascii="Calibri" w:hAnsi="Calibri" w:eastAsia="宋体" w:cs="Times New Roman"/>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4225</Words>
  <Characters>4331</Characters>
  <Lines>32</Lines>
  <Paragraphs>9</Paragraphs>
  <TotalTime>4</TotalTime>
  <ScaleCrop>false</ScaleCrop>
  <LinksUpToDate>false</LinksUpToDate>
  <CharactersWithSpaces>4334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2022-03-30T07:41:00Z</dcterms:created>
  <dc:creator>admin</dc:creator>
  <cp:lastModifiedBy>黄坚</cp:lastModifiedBy>
  <dcterms:modified xsi:type="dcterms:W3CDTF">2022-04-01T01:02:54Z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60D7255470FB4674B857F9F6AD008D3B</vt:lpwstr>
  </property>
</Properties>
</file>