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仿宋" w:hAnsi="仿宋" w:eastAsia="仿宋"/>
          <w:b/>
          <w:sz w:val="32"/>
          <w:szCs w:val="24"/>
          <w:lang w:val="en-US" w:eastAsia="zh-CN"/>
        </w:rPr>
      </w:pPr>
      <w:r>
        <w:rPr>
          <w:rFonts w:hint="eastAsia" w:ascii="仿宋" w:hAnsi="仿宋" w:eastAsia="仿宋"/>
          <w:b/>
          <w:sz w:val="32"/>
          <w:szCs w:val="24"/>
          <w:lang w:val="en-US" w:eastAsia="zh-CN"/>
        </w:rPr>
        <w:t>附件</w:t>
      </w:r>
    </w:p>
    <w:p>
      <w:pPr>
        <w:spacing w:line="600" w:lineRule="exact"/>
        <w:jc w:val="center"/>
        <w:rPr>
          <w:rFonts w:ascii="仿宋" w:hAnsi="仿宋" w:eastAsia="仿宋"/>
          <w:b/>
          <w:sz w:val="32"/>
          <w:szCs w:val="24"/>
        </w:rPr>
      </w:pPr>
      <w:r>
        <w:rPr>
          <w:rFonts w:hint="eastAsia" w:ascii="仿宋" w:hAnsi="仿宋" w:eastAsia="仿宋"/>
          <w:b/>
          <w:sz w:val="32"/>
          <w:szCs w:val="24"/>
        </w:rPr>
        <w:t>202</w:t>
      </w:r>
      <w:r>
        <w:rPr>
          <w:rFonts w:hint="eastAsia" w:ascii="仿宋" w:hAnsi="仿宋" w:eastAsia="仿宋"/>
          <w:b/>
          <w:sz w:val="32"/>
          <w:szCs w:val="24"/>
          <w:lang w:val="en-US" w:eastAsia="zh-CN"/>
        </w:rPr>
        <w:t>4</w:t>
      </w:r>
      <w:r>
        <w:rPr>
          <w:rFonts w:hint="eastAsia" w:ascii="仿宋" w:hAnsi="仿宋" w:eastAsia="仿宋"/>
          <w:b/>
          <w:sz w:val="32"/>
          <w:szCs w:val="24"/>
        </w:rPr>
        <w:t>年广西师范大学各专业拟接收中外校际交流项目学生分流计划一览表</w:t>
      </w:r>
    </w:p>
    <w:tbl>
      <w:tblPr>
        <w:tblStyle w:val="8"/>
        <w:tblW w:w="14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6"/>
        <w:gridCol w:w="3286"/>
        <w:gridCol w:w="1256"/>
        <w:gridCol w:w="5803"/>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blHeader/>
          <w:jc w:val="center"/>
        </w:trPr>
        <w:tc>
          <w:tcPr>
            <w:tcW w:w="2726" w:type="dxa"/>
            <w:vAlign w:val="center"/>
          </w:tcPr>
          <w:p>
            <w:pPr>
              <w:widowControl/>
              <w:spacing w:line="400" w:lineRule="exact"/>
              <w:ind w:left="266" w:leftChars="127"/>
              <w:jc w:val="center"/>
              <w:rPr>
                <w:rFonts w:ascii="宋体" w:hAnsi="宋体"/>
                <w:b/>
                <w:bCs/>
                <w:kern w:val="0"/>
                <w:sz w:val="24"/>
                <w:szCs w:val="24"/>
              </w:rPr>
            </w:pPr>
            <w:r>
              <w:rPr>
                <w:rFonts w:ascii="宋体" w:hAnsi="宋体"/>
                <w:b/>
                <w:bCs/>
                <w:kern w:val="0"/>
                <w:sz w:val="24"/>
                <w:szCs w:val="24"/>
              </w:rPr>
              <w:t>学   院</w:t>
            </w:r>
          </w:p>
        </w:tc>
        <w:tc>
          <w:tcPr>
            <w:tcW w:w="3286" w:type="dxa"/>
            <w:vAlign w:val="center"/>
          </w:tcPr>
          <w:p>
            <w:pPr>
              <w:widowControl/>
              <w:spacing w:line="400" w:lineRule="exact"/>
              <w:jc w:val="center"/>
              <w:rPr>
                <w:rFonts w:ascii="宋体" w:hAnsi="宋体"/>
                <w:b/>
                <w:bCs/>
                <w:kern w:val="0"/>
                <w:sz w:val="24"/>
                <w:szCs w:val="24"/>
              </w:rPr>
            </w:pPr>
            <w:r>
              <w:rPr>
                <w:rFonts w:ascii="宋体" w:hAnsi="宋体"/>
                <w:b/>
                <w:bCs/>
                <w:kern w:val="0"/>
                <w:sz w:val="24"/>
                <w:szCs w:val="24"/>
              </w:rPr>
              <w:t>专业名称</w:t>
            </w:r>
          </w:p>
        </w:tc>
        <w:tc>
          <w:tcPr>
            <w:tcW w:w="1256" w:type="dxa"/>
            <w:vAlign w:val="center"/>
          </w:tcPr>
          <w:p>
            <w:pPr>
              <w:widowControl/>
              <w:spacing w:line="400" w:lineRule="exact"/>
              <w:jc w:val="center"/>
              <w:rPr>
                <w:rFonts w:ascii="宋体" w:hAnsi="宋体"/>
                <w:b/>
                <w:bCs/>
                <w:kern w:val="0"/>
                <w:sz w:val="24"/>
                <w:szCs w:val="24"/>
              </w:rPr>
            </w:pPr>
            <w:r>
              <w:rPr>
                <w:rFonts w:ascii="宋体" w:hAnsi="宋体"/>
                <w:b/>
                <w:bCs/>
                <w:kern w:val="0"/>
                <w:sz w:val="24"/>
                <w:szCs w:val="24"/>
              </w:rPr>
              <w:t>专业性质</w:t>
            </w:r>
          </w:p>
        </w:tc>
        <w:tc>
          <w:tcPr>
            <w:tcW w:w="5803" w:type="dxa"/>
            <w:vAlign w:val="center"/>
          </w:tcPr>
          <w:p>
            <w:pPr>
              <w:widowControl/>
              <w:spacing w:line="400" w:lineRule="exact"/>
              <w:jc w:val="center"/>
              <w:rPr>
                <w:rFonts w:ascii="宋体" w:hAnsi="宋体"/>
                <w:b/>
                <w:bCs/>
                <w:kern w:val="0"/>
                <w:sz w:val="24"/>
                <w:szCs w:val="24"/>
              </w:rPr>
            </w:pPr>
            <w:r>
              <w:rPr>
                <w:rFonts w:ascii="宋体" w:hAnsi="宋体"/>
                <w:b/>
                <w:bCs/>
                <w:kern w:val="0"/>
                <w:sz w:val="24"/>
                <w:szCs w:val="24"/>
              </w:rPr>
              <w:t>考核要求</w:t>
            </w:r>
          </w:p>
        </w:tc>
        <w:tc>
          <w:tcPr>
            <w:tcW w:w="1550" w:type="dxa"/>
          </w:tcPr>
          <w:p>
            <w:pPr>
              <w:widowControl/>
              <w:spacing w:line="400" w:lineRule="exact"/>
              <w:jc w:val="center"/>
              <w:rPr>
                <w:rFonts w:ascii="宋体" w:hAnsi="宋体"/>
                <w:b/>
                <w:bCs/>
                <w:color w:val="auto"/>
                <w:kern w:val="0"/>
                <w:sz w:val="24"/>
                <w:szCs w:val="24"/>
              </w:rPr>
            </w:pPr>
            <w:r>
              <w:rPr>
                <w:rFonts w:hint="eastAsia" w:ascii="宋体" w:hAnsi="宋体"/>
                <w:b/>
                <w:bCs/>
                <w:color w:val="auto"/>
                <w:kern w:val="0"/>
                <w:sz w:val="24"/>
                <w:szCs w:val="24"/>
              </w:rPr>
              <w:t>拟接收人数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26" w:type="dxa"/>
            <w:vMerge w:val="restart"/>
            <w:vAlign w:val="center"/>
          </w:tcPr>
          <w:p>
            <w:pPr>
              <w:spacing w:line="400" w:lineRule="exact"/>
              <w:jc w:val="center"/>
              <w:rPr>
                <w:rFonts w:hint="default" w:ascii="宋体" w:hAnsi="宋体" w:eastAsia="宋体"/>
                <w:kern w:val="0"/>
                <w:sz w:val="24"/>
                <w:szCs w:val="24"/>
                <w:lang w:val="en-US" w:eastAsia="zh-CN"/>
              </w:rPr>
            </w:pPr>
            <w:bookmarkStart w:id="0" w:name="_Hlk477972500"/>
            <w:r>
              <w:rPr>
                <w:rFonts w:ascii="宋体" w:hAnsi="宋体"/>
                <w:kern w:val="0"/>
                <w:sz w:val="24"/>
                <w:szCs w:val="24"/>
              </w:rPr>
              <w:t>文学院</w:t>
            </w:r>
            <w:r>
              <w:rPr>
                <w:rFonts w:hint="eastAsia" w:ascii="宋体" w:hAnsi="宋体"/>
                <w:kern w:val="0"/>
                <w:sz w:val="24"/>
                <w:szCs w:val="24"/>
                <w:lang w:val="en-US" w:eastAsia="zh-CN"/>
              </w:rPr>
              <w:t>/新闻与传播学院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44</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汉语言文学</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803"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者可报名，按照课程成绩排名依次接收。</w:t>
            </w: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汉语国际教育</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803" w:type="dxa"/>
            <w:vAlign w:val="center"/>
          </w:tcPr>
          <w:p>
            <w:pPr>
              <w:spacing w:line="400" w:lineRule="exact"/>
              <w:jc w:val="left"/>
              <w:rPr>
                <w:rFonts w:ascii="宋体" w:hAnsi="宋体"/>
                <w:kern w:val="0"/>
                <w:sz w:val="24"/>
                <w:szCs w:val="24"/>
              </w:rPr>
            </w:pPr>
            <w:r>
              <w:rPr>
                <w:rFonts w:ascii="宋体" w:hAnsi="宋体"/>
                <w:kern w:val="0"/>
                <w:sz w:val="24"/>
                <w:szCs w:val="24"/>
              </w:rPr>
              <w:t>需通过转入学院的</w:t>
            </w:r>
            <w:r>
              <w:rPr>
                <w:rFonts w:hint="eastAsia" w:ascii="宋体" w:hAnsi="宋体"/>
                <w:kern w:val="0"/>
                <w:sz w:val="24"/>
                <w:szCs w:val="24"/>
              </w:rPr>
              <w:t>面试考核，按照课程成绩和面试成绩折算的总分排名依次接收</w:t>
            </w:r>
            <w:r>
              <w:rPr>
                <w:rFonts w:ascii="宋体" w:hAnsi="宋体"/>
                <w:kern w:val="0"/>
                <w:sz w:val="24"/>
                <w:szCs w:val="24"/>
              </w:rPr>
              <w:t>。</w:t>
            </w: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网络与新媒体</w:t>
            </w:r>
          </w:p>
        </w:tc>
        <w:tc>
          <w:tcPr>
            <w:tcW w:w="1256" w:type="dxa"/>
            <w:vAlign w:val="center"/>
          </w:tcPr>
          <w:p>
            <w:pPr>
              <w:widowControl/>
              <w:spacing w:line="400" w:lineRule="exact"/>
              <w:jc w:val="center"/>
              <w:rPr>
                <w:rFonts w:ascii="宋体" w:hAnsi="宋体"/>
                <w:kern w:val="0"/>
                <w:sz w:val="24"/>
                <w:szCs w:val="24"/>
              </w:rPr>
            </w:pPr>
          </w:p>
        </w:tc>
        <w:tc>
          <w:tcPr>
            <w:tcW w:w="5803" w:type="dxa"/>
            <w:vAlign w:val="center"/>
          </w:tcPr>
          <w:p>
            <w:pPr>
              <w:spacing w:line="400" w:lineRule="exact"/>
              <w:jc w:val="left"/>
              <w:rPr>
                <w:rFonts w:hint="eastAsia" w:ascii="宋体" w:hAnsi="宋体"/>
                <w:kern w:val="0"/>
                <w:sz w:val="24"/>
                <w:szCs w:val="24"/>
              </w:rPr>
            </w:pPr>
            <w:r>
              <w:rPr>
                <w:rFonts w:hint="eastAsia" w:ascii="宋体" w:hAnsi="宋体"/>
                <w:kern w:val="0"/>
                <w:sz w:val="24"/>
                <w:szCs w:val="24"/>
              </w:rPr>
              <w:t>按照课程成绩排名依次接收。</w:t>
            </w: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新闻学</w:t>
            </w:r>
          </w:p>
        </w:tc>
        <w:tc>
          <w:tcPr>
            <w:tcW w:w="1256" w:type="dxa"/>
            <w:vAlign w:val="center"/>
          </w:tcPr>
          <w:p>
            <w:pPr>
              <w:widowControl/>
              <w:spacing w:line="400" w:lineRule="exact"/>
              <w:jc w:val="center"/>
              <w:rPr>
                <w:rFonts w:ascii="宋体" w:hAnsi="宋体"/>
                <w:kern w:val="0"/>
                <w:sz w:val="24"/>
                <w:szCs w:val="24"/>
              </w:rPr>
            </w:pPr>
          </w:p>
        </w:tc>
        <w:tc>
          <w:tcPr>
            <w:tcW w:w="5803" w:type="dxa"/>
            <w:vAlign w:val="center"/>
          </w:tcPr>
          <w:p>
            <w:pPr>
              <w:spacing w:line="400" w:lineRule="exact"/>
              <w:jc w:val="left"/>
              <w:rPr>
                <w:rFonts w:ascii="宋体" w:hAnsi="宋体"/>
                <w:kern w:val="0"/>
                <w:sz w:val="24"/>
                <w:szCs w:val="24"/>
              </w:rPr>
            </w:pPr>
            <w:r>
              <w:rPr>
                <w:rFonts w:hint="eastAsia" w:ascii="宋体" w:hAnsi="宋体"/>
                <w:kern w:val="0"/>
                <w:sz w:val="24"/>
                <w:szCs w:val="24"/>
              </w:rPr>
              <w:t>按照课程成绩排名依次接收。</w:t>
            </w: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历史文化与旅游学院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26</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历史学</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803"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者可报名，按照课程成绩排名依次接收。</w:t>
            </w:r>
          </w:p>
        </w:tc>
        <w:tc>
          <w:tcPr>
            <w:tcW w:w="1550"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文化产业管理</w:t>
            </w:r>
          </w:p>
        </w:tc>
        <w:tc>
          <w:tcPr>
            <w:tcW w:w="1256" w:type="dxa"/>
            <w:vAlign w:val="center"/>
          </w:tcPr>
          <w:p>
            <w:pPr>
              <w:widowControl/>
              <w:spacing w:line="400" w:lineRule="exact"/>
              <w:jc w:val="center"/>
              <w:rPr>
                <w:rFonts w:ascii="宋体" w:hAnsi="宋体"/>
                <w:kern w:val="0"/>
                <w:sz w:val="24"/>
                <w:szCs w:val="24"/>
                <w:highlight w:val="none"/>
              </w:rPr>
            </w:pPr>
          </w:p>
        </w:tc>
        <w:tc>
          <w:tcPr>
            <w:tcW w:w="5803" w:type="dxa"/>
            <w:vAlign w:val="center"/>
          </w:tcPr>
          <w:p>
            <w:pPr>
              <w:widowControl/>
              <w:spacing w:line="400" w:lineRule="exact"/>
              <w:jc w:val="left"/>
              <w:rPr>
                <w:rFonts w:ascii="宋体" w:hAnsi="宋体"/>
                <w:kern w:val="0"/>
                <w:sz w:val="24"/>
                <w:szCs w:val="24"/>
                <w:highlight w:val="none"/>
              </w:rPr>
            </w:pPr>
            <w:r>
              <w:rPr>
                <w:rFonts w:ascii="宋体" w:hAnsi="宋体"/>
                <w:color w:val="auto"/>
                <w:kern w:val="0"/>
                <w:sz w:val="24"/>
                <w:szCs w:val="24"/>
                <w:highlight w:val="none"/>
              </w:rPr>
              <w:t>需已经修读高等数学课程</w:t>
            </w:r>
            <w:r>
              <w:rPr>
                <w:rFonts w:ascii="宋体" w:hAnsi="宋体"/>
                <w:color w:val="auto"/>
                <w:kern w:val="0"/>
                <w:sz w:val="24"/>
                <w:szCs w:val="24"/>
                <w:highlight w:val="none"/>
              </w:rPr>
              <w:t>，</w:t>
            </w:r>
            <w:r>
              <w:rPr>
                <w:rFonts w:ascii="宋体" w:hAnsi="宋体"/>
                <w:kern w:val="0"/>
                <w:sz w:val="24"/>
                <w:szCs w:val="24"/>
                <w:highlight w:val="none"/>
              </w:rPr>
              <w:t>按</w:t>
            </w:r>
            <w:r>
              <w:rPr>
                <w:rFonts w:hint="eastAsia" w:ascii="宋体" w:hAnsi="宋体"/>
                <w:kern w:val="0"/>
                <w:sz w:val="24"/>
                <w:szCs w:val="24"/>
                <w:highlight w:val="none"/>
              </w:rPr>
              <w:t>照课程</w:t>
            </w:r>
            <w:r>
              <w:rPr>
                <w:rFonts w:ascii="宋体" w:hAnsi="宋体"/>
                <w:kern w:val="0"/>
                <w:sz w:val="24"/>
                <w:szCs w:val="24"/>
                <w:highlight w:val="none"/>
              </w:rPr>
              <w:t>成绩排名</w:t>
            </w:r>
            <w:r>
              <w:rPr>
                <w:rFonts w:hint="eastAsia" w:ascii="宋体" w:hAnsi="宋体"/>
                <w:kern w:val="0"/>
                <w:sz w:val="24"/>
                <w:szCs w:val="24"/>
                <w:highlight w:val="none"/>
              </w:rPr>
              <w:t>依次</w:t>
            </w:r>
            <w:r>
              <w:rPr>
                <w:rFonts w:ascii="宋体" w:hAnsi="宋体"/>
                <w:kern w:val="0"/>
                <w:sz w:val="24"/>
                <w:szCs w:val="24"/>
                <w:highlight w:val="none"/>
              </w:rPr>
              <w:t>接收。</w:t>
            </w: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旅游管理</w:t>
            </w:r>
          </w:p>
        </w:tc>
        <w:tc>
          <w:tcPr>
            <w:tcW w:w="1256" w:type="dxa"/>
            <w:vAlign w:val="center"/>
          </w:tcPr>
          <w:p>
            <w:pPr>
              <w:widowControl/>
              <w:spacing w:line="400" w:lineRule="exact"/>
              <w:jc w:val="center"/>
              <w:rPr>
                <w:rFonts w:ascii="宋体" w:hAnsi="宋体"/>
                <w:kern w:val="0"/>
                <w:sz w:val="24"/>
                <w:szCs w:val="24"/>
              </w:rPr>
            </w:pPr>
          </w:p>
        </w:tc>
        <w:tc>
          <w:tcPr>
            <w:tcW w:w="5803" w:type="dxa"/>
            <w:vMerge w:val="restart"/>
            <w:vAlign w:val="center"/>
          </w:tcPr>
          <w:p>
            <w:pPr>
              <w:widowControl/>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接收；要求男生身高不低于</w:t>
            </w:r>
            <w:r>
              <w:rPr>
                <w:rFonts w:hint="eastAsia" w:ascii="宋体" w:hAnsi="宋体"/>
                <w:kern w:val="0"/>
                <w:sz w:val="24"/>
                <w:szCs w:val="24"/>
              </w:rPr>
              <w:t>165厘米，女生身高不低于157厘米。</w:t>
            </w:r>
          </w:p>
        </w:tc>
        <w:tc>
          <w:tcPr>
            <w:tcW w:w="1550" w:type="dxa"/>
            <w:vAlign w:val="center"/>
          </w:tcPr>
          <w:p>
            <w:pPr>
              <w:widowControl/>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酒店管理</w:t>
            </w:r>
          </w:p>
        </w:tc>
        <w:tc>
          <w:tcPr>
            <w:tcW w:w="1256" w:type="dxa"/>
            <w:vAlign w:val="center"/>
          </w:tcPr>
          <w:p>
            <w:pPr>
              <w:widowControl/>
              <w:spacing w:line="400" w:lineRule="exact"/>
              <w:jc w:val="center"/>
              <w:rPr>
                <w:rFonts w:ascii="宋体" w:hAnsi="宋体"/>
                <w:kern w:val="0"/>
                <w:sz w:val="24"/>
                <w:szCs w:val="24"/>
              </w:rPr>
            </w:pPr>
          </w:p>
        </w:tc>
        <w:tc>
          <w:tcPr>
            <w:tcW w:w="5803" w:type="dxa"/>
            <w:vMerge w:val="continue"/>
            <w:vAlign w:val="center"/>
          </w:tcPr>
          <w:p>
            <w:pPr>
              <w:widowControl/>
              <w:spacing w:line="400" w:lineRule="exact"/>
              <w:jc w:val="left"/>
              <w:rPr>
                <w:rFonts w:ascii="宋体" w:hAnsi="宋体"/>
                <w:kern w:val="0"/>
                <w:sz w:val="24"/>
                <w:szCs w:val="24"/>
              </w:rPr>
            </w:pPr>
          </w:p>
        </w:tc>
        <w:tc>
          <w:tcPr>
            <w:tcW w:w="1550" w:type="dxa"/>
            <w:vAlign w:val="center"/>
          </w:tcPr>
          <w:p>
            <w:pPr>
              <w:widowControl/>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ascii="宋体" w:hAnsi="宋体"/>
                <w:kern w:val="0"/>
                <w:sz w:val="24"/>
                <w:szCs w:val="24"/>
              </w:rPr>
              <w:t>马克思主义学院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10</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思想政治教育</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师范</w:t>
            </w:r>
          </w:p>
        </w:tc>
        <w:tc>
          <w:tcPr>
            <w:tcW w:w="5803"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者可报名，按照课程成绩排名依次接收。</w:t>
            </w:r>
          </w:p>
        </w:tc>
        <w:tc>
          <w:tcPr>
            <w:tcW w:w="1550" w:type="dxa"/>
            <w:vAlign w:val="center"/>
          </w:tcPr>
          <w:p>
            <w:pPr>
              <w:widowControl/>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continue"/>
            <w:vAlign w:val="center"/>
          </w:tcPr>
          <w:p>
            <w:pPr>
              <w:widowControl/>
              <w:spacing w:line="400" w:lineRule="exact"/>
              <w:jc w:val="center"/>
              <w:rPr>
                <w:rFonts w:hint="eastAsia" w:ascii="宋体" w:hAnsi="宋体"/>
                <w:kern w:val="0"/>
                <w:sz w:val="24"/>
                <w:szCs w:val="24"/>
              </w:rPr>
            </w:pPr>
          </w:p>
        </w:tc>
        <w:tc>
          <w:tcPr>
            <w:tcW w:w="3286" w:type="dxa"/>
            <w:vAlign w:val="center"/>
          </w:tcPr>
          <w:p>
            <w:pPr>
              <w:widowControl/>
              <w:spacing w:line="400" w:lineRule="exact"/>
              <w:jc w:val="center"/>
              <w:rPr>
                <w:rFonts w:hint="default" w:ascii="宋体" w:hAnsi="宋体" w:eastAsia="宋体"/>
                <w:kern w:val="0"/>
                <w:sz w:val="24"/>
                <w:szCs w:val="24"/>
                <w:lang w:val="en-US" w:eastAsia="zh-CN"/>
              </w:rPr>
            </w:pPr>
            <w:r>
              <w:rPr>
                <w:rFonts w:hint="eastAsia" w:ascii="宋体" w:hAnsi="宋体"/>
                <w:kern w:val="0"/>
                <w:sz w:val="24"/>
                <w:szCs w:val="24"/>
                <w:highlight w:val="none"/>
                <w:lang w:val="en-US" w:eastAsia="zh-CN"/>
              </w:rPr>
              <w:t>马克思主义理论</w:t>
            </w:r>
          </w:p>
        </w:tc>
        <w:tc>
          <w:tcPr>
            <w:tcW w:w="1256" w:type="dxa"/>
            <w:vAlign w:val="center"/>
          </w:tcPr>
          <w:p>
            <w:pPr>
              <w:widowControl/>
              <w:spacing w:line="400" w:lineRule="exact"/>
              <w:jc w:val="center"/>
              <w:rPr>
                <w:rFonts w:hint="eastAsia" w:ascii="宋体" w:hAnsi="宋体"/>
                <w:kern w:val="0"/>
                <w:sz w:val="24"/>
                <w:szCs w:val="24"/>
              </w:rPr>
            </w:pPr>
          </w:p>
        </w:tc>
        <w:tc>
          <w:tcPr>
            <w:tcW w:w="5803" w:type="dxa"/>
            <w:vAlign w:val="center"/>
          </w:tcPr>
          <w:p>
            <w:pPr>
              <w:widowControl/>
              <w:spacing w:line="400" w:lineRule="exact"/>
              <w:jc w:val="left"/>
              <w:rPr>
                <w:rFonts w:hint="eastAsia" w:ascii="宋体" w:hAnsi="宋体"/>
                <w:kern w:val="0"/>
                <w:sz w:val="24"/>
                <w:szCs w:val="24"/>
              </w:rPr>
            </w:pPr>
            <w:r>
              <w:rPr>
                <w:rFonts w:hint="eastAsia" w:ascii="宋体" w:hAnsi="宋体"/>
                <w:kern w:val="0"/>
                <w:sz w:val="24"/>
                <w:szCs w:val="24"/>
              </w:rPr>
              <w:t>按照课程成绩排名依次接收。</w:t>
            </w:r>
          </w:p>
        </w:tc>
        <w:tc>
          <w:tcPr>
            <w:tcW w:w="1550" w:type="dxa"/>
            <w:vAlign w:val="center"/>
          </w:tcPr>
          <w:p>
            <w:pPr>
              <w:widowControl/>
              <w:spacing w:line="400" w:lineRule="exact"/>
              <w:jc w:val="center"/>
              <w:rPr>
                <w:rFonts w:hint="default" w:ascii="宋体" w:hAnsi="宋体"/>
                <w:b/>
                <w:color w:val="auto"/>
                <w:kern w:val="0"/>
                <w:sz w:val="24"/>
                <w:szCs w:val="24"/>
                <w:lang w:val="en-US" w:eastAsia="zh-CN"/>
              </w:rPr>
            </w:pPr>
            <w:r>
              <w:rPr>
                <w:rFonts w:hint="eastAsia" w:ascii="宋体" w:hAnsi="宋体"/>
                <w:b/>
                <w:color w:val="auto"/>
                <w:kern w:val="0"/>
                <w:sz w:val="24"/>
                <w:szCs w:val="24"/>
                <w:lang w:val="en-US" w:eastAsia="zh-CN"/>
              </w:rPr>
              <w:t>2</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726" w:type="dxa"/>
            <w:vAlign w:val="center"/>
          </w:tcPr>
          <w:p>
            <w:pPr>
              <w:widowControl/>
              <w:spacing w:line="400" w:lineRule="exact"/>
              <w:jc w:val="center"/>
              <w:rPr>
                <w:rFonts w:hint="eastAsia" w:ascii="宋体" w:hAnsi="宋体"/>
                <w:kern w:val="0"/>
                <w:sz w:val="24"/>
                <w:szCs w:val="24"/>
                <w:lang w:val="en-US" w:eastAsia="zh-CN"/>
              </w:rPr>
            </w:pPr>
            <w:r>
              <w:rPr>
                <w:rFonts w:ascii="宋体" w:hAnsi="宋体"/>
                <w:kern w:val="0"/>
                <w:sz w:val="24"/>
                <w:szCs w:val="24"/>
              </w:rPr>
              <w:t>法学院</w:t>
            </w:r>
            <w:r>
              <w:rPr>
                <w:rFonts w:hint="eastAsia" w:ascii="宋体" w:hAnsi="宋体"/>
                <w:kern w:val="0"/>
                <w:sz w:val="24"/>
                <w:szCs w:val="24"/>
                <w:lang w:val="en-US" w:eastAsia="zh-CN"/>
              </w:rPr>
              <w:t>/律师学院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20</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法学</w:t>
            </w:r>
          </w:p>
        </w:tc>
        <w:tc>
          <w:tcPr>
            <w:tcW w:w="1256" w:type="dxa"/>
            <w:vAlign w:val="center"/>
          </w:tcPr>
          <w:p>
            <w:pPr>
              <w:widowControl/>
              <w:spacing w:line="400" w:lineRule="exact"/>
              <w:jc w:val="center"/>
              <w:rPr>
                <w:rFonts w:ascii="宋体" w:hAnsi="宋体"/>
                <w:kern w:val="0"/>
                <w:sz w:val="24"/>
                <w:szCs w:val="24"/>
              </w:rPr>
            </w:pPr>
          </w:p>
        </w:tc>
        <w:tc>
          <w:tcPr>
            <w:tcW w:w="5803" w:type="dxa"/>
            <w:vAlign w:val="center"/>
          </w:tcPr>
          <w:p>
            <w:pPr>
              <w:widowControl/>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ascii="宋体" w:hAnsi="宋体"/>
                <w:kern w:val="0"/>
                <w:sz w:val="24"/>
                <w:szCs w:val="24"/>
              </w:rPr>
              <w:t>政治与公共管理学院</w:t>
            </w:r>
          </w:p>
          <w:p>
            <w:pPr>
              <w:widowControl/>
              <w:spacing w:line="400" w:lineRule="exact"/>
              <w:jc w:val="center"/>
              <w:rPr>
                <w:rFonts w:ascii="宋体" w:hAnsi="宋体"/>
                <w:kern w:val="0"/>
                <w:sz w:val="24"/>
                <w:szCs w:val="24"/>
              </w:rPr>
            </w:pPr>
            <w:r>
              <w:rPr>
                <w:rFonts w:hint="eastAsia" w:ascii="宋体" w:hAnsi="宋体"/>
                <w:kern w:val="0"/>
                <w:sz w:val="24"/>
                <w:szCs w:val="24"/>
              </w:rPr>
              <w:t>（4</w:t>
            </w:r>
            <w:r>
              <w:rPr>
                <w:rFonts w:hint="eastAsia" w:ascii="宋体" w:hAnsi="宋体"/>
                <w:kern w:val="0"/>
                <w:sz w:val="24"/>
                <w:szCs w:val="24"/>
                <w:lang w:val="en-US" w:eastAsia="zh-CN"/>
              </w:rPr>
              <w:t>0</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spacing w:val="-6"/>
                <w:kern w:val="0"/>
                <w:sz w:val="24"/>
                <w:szCs w:val="24"/>
              </w:rPr>
            </w:pPr>
            <w:r>
              <w:rPr>
                <w:rFonts w:ascii="宋体" w:hAnsi="宋体"/>
                <w:spacing w:val="-6"/>
                <w:kern w:val="0"/>
                <w:sz w:val="24"/>
                <w:szCs w:val="24"/>
              </w:rPr>
              <w:t>行政管理</w:t>
            </w:r>
          </w:p>
        </w:tc>
        <w:tc>
          <w:tcPr>
            <w:tcW w:w="1256" w:type="dxa"/>
            <w:vAlign w:val="center"/>
          </w:tcPr>
          <w:p>
            <w:pPr>
              <w:widowControl/>
              <w:spacing w:line="400" w:lineRule="exact"/>
              <w:jc w:val="center"/>
              <w:rPr>
                <w:rFonts w:ascii="宋体" w:hAnsi="宋体"/>
                <w:kern w:val="0"/>
                <w:sz w:val="24"/>
                <w:szCs w:val="24"/>
              </w:rPr>
            </w:pPr>
          </w:p>
        </w:tc>
        <w:tc>
          <w:tcPr>
            <w:tcW w:w="5803" w:type="dxa"/>
            <w:vMerge w:val="restart"/>
            <w:vAlign w:val="center"/>
          </w:tcPr>
          <w:p>
            <w:pPr>
              <w:widowControl/>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spacing w:val="-6"/>
                <w:kern w:val="0"/>
                <w:sz w:val="24"/>
                <w:szCs w:val="24"/>
              </w:rPr>
              <w:t>劳动与社会保障</w:t>
            </w:r>
          </w:p>
        </w:tc>
        <w:tc>
          <w:tcPr>
            <w:tcW w:w="1256" w:type="dxa"/>
            <w:vAlign w:val="center"/>
          </w:tcPr>
          <w:p>
            <w:pPr>
              <w:widowControl/>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spacing w:val="-6"/>
                <w:kern w:val="0"/>
                <w:sz w:val="24"/>
                <w:szCs w:val="24"/>
              </w:rPr>
            </w:pPr>
            <w:r>
              <w:rPr>
                <w:rFonts w:ascii="宋体" w:hAnsi="宋体"/>
                <w:kern w:val="0"/>
                <w:sz w:val="24"/>
                <w:szCs w:val="24"/>
              </w:rPr>
              <w:t>社会</w:t>
            </w:r>
            <w:r>
              <w:rPr>
                <w:rFonts w:hint="eastAsia" w:ascii="宋体" w:hAnsi="宋体"/>
                <w:kern w:val="0"/>
                <w:sz w:val="24"/>
                <w:szCs w:val="24"/>
              </w:rPr>
              <w:t>工作</w:t>
            </w:r>
          </w:p>
        </w:tc>
        <w:tc>
          <w:tcPr>
            <w:tcW w:w="1256" w:type="dxa"/>
            <w:vAlign w:val="center"/>
          </w:tcPr>
          <w:p>
            <w:pPr>
              <w:widowControl/>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政治学与行政学</w:t>
            </w:r>
          </w:p>
        </w:tc>
        <w:tc>
          <w:tcPr>
            <w:tcW w:w="1256" w:type="dxa"/>
            <w:vAlign w:val="center"/>
          </w:tcPr>
          <w:p>
            <w:pPr>
              <w:widowControl/>
              <w:spacing w:line="400" w:lineRule="exact"/>
              <w:jc w:val="center"/>
              <w:rPr>
                <w:rFonts w:ascii="宋体" w:hAnsi="宋体"/>
                <w:kern w:val="0"/>
                <w:sz w:val="24"/>
                <w:szCs w:val="24"/>
              </w:rPr>
            </w:pPr>
          </w:p>
        </w:tc>
        <w:tc>
          <w:tcPr>
            <w:tcW w:w="5803" w:type="dxa"/>
            <w:vMerge w:val="continue"/>
            <w:vAlign w:val="center"/>
          </w:tcPr>
          <w:p>
            <w:pPr>
              <w:widowControl/>
              <w:spacing w:line="400" w:lineRule="exact"/>
              <w:jc w:val="left"/>
              <w:rPr>
                <w:rFonts w:ascii="宋体" w:hAnsi="宋体"/>
                <w:kern w:val="0"/>
                <w:sz w:val="24"/>
                <w:szCs w:val="24"/>
              </w:rPr>
            </w:pPr>
          </w:p>
        </w:tc>
        <w:tc>
          <w:tcPr>
            <w:tcW w:w="1550" w:type="dxa"/>
            <w:vAlign w:val="center"/>
          </w:tcPr>
          <w:p>
            <w:pPr>
              <w:widowControl/>
              <w:spacing w:line="400" w:lineRule="exact"/>
              <w:jc w:val="center"/>
              <w:rPr>
                <w:rFonts w:hint="eastAsia" w:ascii="宋体" w:hAnsi="宋体" w:eastAsia="宋体"/>
                <w:b/>
                <w:color w:val="auto"/>
                <w:kern w:val="0"/>
                <w:sz w:val="24"/>
                <w:szCs w:val="24"/>
                <w:lang w:val="en-US" w:eastAsia="zh-CN"/>
              </w:rPr>
            </w:pPr>
            <w:r>
              <w:rPr>
                <w:rFonts w:hint="default" w:ascii="宋体" w:hAnsi="宋体"/>
                <w:b/>
                <w:color w:val="auto"/>
                <w:kern w:val="0"/>
                <w:sz w:val="24"/>
                <w:szCs w:val="24"/>
                <w:lang w:val="en-US"/>
              </w:rPr>
              <w:t>1</w:t>
            </w:r>
            <w:r>
              <w:rPr>
                <w:rFonts w:hint="eastAsia" w:ascii="宋体" w:hAnsi="宋体"/>
                <w:b/>
                <w:color w:val="auto"/>
                <w:ker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26" w:type="dxa"/>
            <w:vMerge w:val="restart"/>
            <w:vAlign w:val="center"/>
          </w:tcPr>
          <w:p>
            <w:pPr>
              <w:spacing w:line="400" w:lineRule="exact"/>
              <w:jc w:val="center"/>
              <w:rPr>
                <w:rFonts w:ascii="宋体" w:hAnsi="宋体"/>
                <w:kern w:val="0"/>
                <w:sz w:val="24"/>
                <w:szCs w:val="24"/>
              </w:rPr>
            </w:pPr>
            <w:r>
              <w:rPr>
                <w:rFonts w:hint="eastAsia" w:ascii="宋体" w:hAnsi="宋体"/>
                <w:kern w:val="0"/>
                <w:sz w:val="24"/>
                <w:szCs w:val="24"/>
              </w:rPr>
              <w:t>经济管理学院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72</w:t>
            </w:r>
            <w:r>
              <w:rPr>
                <w:rFonts w:hint="eastAsia" w:ascii="宋体" w:hAnsi="宋体"/>
                <w:kern w:val="0"/>
                <w:sz w:val="24"/>
                <w:szCs w:val="24"/>
              </w:rPr>
              <w:t>人）</w:t>
            </w: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金融学</w:t>
            </w:r>
          </w:p>
        </w:tc>
        <w:tc>
          <w:tcPr>
            <w:tcW w:w="1256" w:type="dxa"/>
            <w:vAlign w:val="center"/>
          </w:tcPr>
          <w:p>
            <w:pPr>
              <w:spacing w:line="400" w:lineRule="exact"/>
              <w:jc w:val="center"/>
              <w:rPr>
                <w:rFonts w:ascii="宋体" w:hAnsi="宋体"/>
                <w:sz w:val="24"/>
                <w:szCs w:val="24"/>
              </w:rPr>
            </w:pPr>
          </w:p>
        </w:tc>
        <w:tc>
          <w:tcPr>
            <w:tcW w:w="5803" w:type="dxa"/>
            <w:vMerge w:val="restart"/>
            <w:vAlign w:val="center"/>
          </w:tcPr>
          <w:p>
            <w:pPr>
              <w:spacing w:line="400" w:lineRule="exact"/>
              <w:jc w:val="left"/>
              <w:rPr>
                <w:rFonts w:ascii="宋体" w:hAnsi="宋体"/>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会计学</w:t>
            </w:r>
          </w:p>
        </w:tc>
        <w:tc>
          <w:tcPr>
            <w:tcW w:w="1256" w:type="dxa"/>
            <w:vAlign w:val="center"/>
          </w:tcPr>
          <w:p>
            <w:pPr>
              <w:spacing w:line="400" w:lineRule="exact"/>
              <w:jc w:val="center"/>
              <w:rPr>
                <w:rFonts w:ascii="宋体" w:hAnsi="宋体"/>
                <w:sz w:val="24"/>
                <w:szCs w:val="24"/>
              </w:rPr>
            </w:pPr>
          </w:p>
        </w:tc>
        <w:tc>
          <w:tcPr>
            <w:tcW w:w="5803" w:type="dxa"/>
            <w:vMerge w:val="continue"/>
            <w:vAlign w:val="center"/>
          </w:tcPr>
          <w:p>
            <w:pPr>
              <w:spacing w:line="400" w:lineRule="exact"/>
              <w:jc w:val="left"/>
              <w:rPr>
                <w:rFonts w:ascii="宋体" w:hAnsi="宋体"/>
                <w:sz w:val="24"/>
                <w:szCs w:val="24"/>
              </w:rPr>
            </w:pPr>
          </w:p>
        </w:tc>
        <w:tc>
          <w:tcPr>
            <w:tcW w:w="1550" w:type="dxa"/>
            <w:vAlign w:val="center"/>
          </w:tcPr>
          <w:p>
            <w:pPr>
              <w:spacing w:line="400" w:lineRule="exact"/>
              <w:jc w:val="center"/>
              <w:rPr>
                <w:rFonts w:hint="default" w:ascii="宋体" w:hAnsi="宋体" w:eastAsia="宋体"/>
                <w:b/>
                <w:color w:val="auto"/>
                <w:sz w:val="24"/>
                <w:szCs w:val="24"/>
                <w:lang w:val="en-US" w:eastAsia="zh-CN"/>
              </w:rPr>
            </w:pPr>
            <w:r>
              <w:rPr>
                <w:rFonts w:hint="eastAsia" w:ascii="宋体" w:hAnsi="宋体"/>
                <w:b/>
                <w:color w:val="auto"/>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工商管理</w:t>
            </w:r>
          </w:p>
        </w:tc>
        <w:tc>
          <w:tcPr>
            <w:tcW w:w="1256" w:type="dxa"/>
            <w:vAlign w:val="center"/>
          </w:tcPr>
          <w:p>
            <w:pPr>
              <w:spacing w:line="400" w:lineRule="exact"/>
              <w:jc w:val="center"/>
              <w:rPr>
                <w:rFonts w:ascii="宋体" w:hAnsi="宋体"/>
                <w:sz w:val="24"/>
                <w:szCs w:val="24"/>
              </w:rPr>
            </w:pPr>
          </w:p>
        </w:tc>
        <w:tc>
          <w:tcPr>
            <w:tcW w:w="5803" w:type="dxa"/>
            <w:vMerge w:val="continue"/>
            <w:vAlign w:val="center"/>
          </w:tcPr>
          <w:p>
            <w:pPr>
              <w:spacing w:line="400" w:lineRule="exact"/>
              <w:jc w:val="left"/>
              <w:rPr>
                <w:rFonts w:ascii="宋体" w:hAnsi="宋体"/>
                <w:sz w:val="24"/>
                <w:szCs w:val="24"/>
              </w:rPr>
            </w:pPr>
          </w:p>
        </w:tc>
        <w:tc>
          <w:tcPr>
            <w:tcW w:w="1550" w:type="dxa"/>
            <w:vAlign w:val="center"/>
          </w:tcPr>
          <w:p>
            <w:pPr>
              <w:spacing w:line="400" w:lineRule="exact"/>
              <w:jc w:val="center"/>
              <w:rPr>
                <w:rFonts w:hint="default" w:ascii="宋体" w:hAnsi="宋体" w:eastAsia="宋体"/>
                <w:b/>
                <w:color w:val="auto"/>
                <w:sz w:val="24"/>
                <w:szCs w:val="24"/>
                <w:lang w:val="en-US" w:eastAsia="zh-CN"/>
              </w:rPr>
            </w:pPr>
            <w:r>
              <w:rPr>
                <w:rFonts w:hint="eastAsia" w:ascii="宋体" w:hAnsi="宋体"/>
                <w:b/>
                <w:color w:val="auto"/>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人力资源管理</w:t>
            </w:r>
          </w:p>
        </w:tc>
        <w:tc>
          <w:tcPr>
            <w:tcW w:w="1256" w:type="dxa"/>
            <w:vAlign w:val="center"/>
          </w:tcPr>
          <w:p>
            <w:pPr>
              <w:spacing w:line="400" w:lineRule="exact"/>
              <w:jc w:val="center"/>
              <w:rPr>
                <w:rFonts w:ascii="宋体" w:hAnsi="宋体"/>
                <w:sz w:val="24"/>
                <w:szCs w:val="24"/>
              </w:rPr>
            </w:pPr>
          </w:p>
        </w:tc>
        <w:tc>
          <w:tcPr>
            <w:tcW w:w="5803" w:type="dxa"/>
            <w:vMerge w:val="continue"/>
            <w:vAlign w:val="center"/>
          </w:tcPr>
          <w:p>
            <w:pPr>
              <w:spacing w:line="400" w:lineRule="exact"/>
              <w:jc w:val="left"/>
              <w:rPr>
                <w:rFonts w:ascii="宋体" w:hAnsi="宋体"/>
                <w:sz w:val="24"/>
                <w:szCs w:val="24"/>
              </w:rPr>
            </w:pPr>
          </w:p>
        </w:tc>
        <w:tc>
          <w:tcPr>
            <w:tcW w:w="1550" w:type="dxa"/>
            <w:vAlign w:val="center"/>
          </w:tcPr>
          <w:p>
            <w:pPr>
              <w:spacing w:line="400" w:lineRule="exact"/>
              <w:jc w:val="center"/>
              <w:rPr>
                <w:rFonts w:ascii="宋体" w:hAnsi="宋体"/>
                <w:b/>
                <w:color w:val="auto"/>
                <w:sz w:val="24"/>
                <w:szCs w:val="24"/>
              </w:rPr>
            </w:pPr>
            <w:r>
              <w:rPr>
                <w:rFonts w:hint="eastAsia" w:ascii="宋体" w:hAnsi="宋体"/>
                <w:b/>
                <w:color w:val="auto"/>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教育学部</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31</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学前教育</w:t>
            </w:r>
          </w:p>
        </w:tc>
        <w:tc>
          <w:tcPr>
            <w:tcW w:w="1256" w:type="dxa"/>
            <w:vAlign w:val="center"/>
          </w:tcPr>
          <w:p>
            <w:pPr>
              <w:spacing w:line="400" w:lineRule="exact"/>
              <w:jc w:val="center"/>
              <w:rPr>
                <w:rFonts w:ascii="宋体" w:hAnsi="宋体"/>
                <w:sz w:val="24"/>
                <w:szCs w:val="24"/>
              </w:rPr>
            </w:pPr>
            <w:r>
              <w:rPr>
                <w:rFonts w:hint="eastAsia" w:ascii="宋体" w:hAnsi="宋体"/>
                <w:sz w:val="24"/>
                <w:szCs w:val="24"/>
              </w:rPr>
              <w:t>师范</w:t>
            </w:r>
          </w:p>
        </w:tc>
        <w:tc>
          <w:tcPr>
            <w:tcW w:w="5803" w:type="dxa"/>
            <w:vMerge w:val="restart"/>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者可报名，按照课程成绩排名依次接收。</w:t>
            </w:r>
          </w:p>
        </w:tc>
        <w:tc>
          <w:tcPr>
            <w:tcW w:w="1550" w:type="dxa"/>
            <w:vAlign w:val="center"/>
          </w:tcPr>
          <w:p>
            <w:pPr>
              <w:widowControl/>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小学教育</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特殊教育</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师范</w:t>
            </w: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教育技术学</w:t>
            </w:r>
          </w:p>
        </w:tc>
        <w:tc>
          <w:tcPr>
            <w:tcW w:w="1256" w:type="dxa"/>
            <w:vAlign w:val="center"/>
          </w:tcPr>
          <w:p>
            <w:pPr>
              <w:spacing w:line="400" w:lineRule="exact"/>
              <w:jc w:val="center"/>
              <w:rPr>
                <w:rFonts w:ascii="宋体" w:hAnsi="宋体"/>
                <w:sz w:val="24"/>
                <w:szCs w:val="24"/>
              </w:rPr>
            </w:pPr>
            <w:r>
              <w:rPr>
                <w:rFonts w:hint="eastAsia" w:ascii="宋体" w:hAnsi="宋体"/>
                <w:sz w:val="24"/>
                <w:szCs w:val="24"/>
              </w:rPr>
              <w:t>师范</w:t>
            </w:r>
          </w:p>
        </w:tc>
        <w:tc>
          <w:tcPr>
            <w:tcW w:w="5803" w:type="dxa"/>
            <w:vMerge w:val="continue"/>
            <w:vAlign w:val="center"/>
          </w:tcPr>
          <w:p>
            <w:pPr>
              <w:widowControl/>
              <w:spacing w:line="400" w:lineRule="exact"/>
              <w:jc w:val="left"/>
              <w:rPr>
                <w:rFonts w:ascii="宋体" w:hAnsi="宋体"/>
                <w:kern w:val="0"/>
                <w:sz w:val="24"/>
                <w:szCs w:val="24"/>
              </w:rPr>
            </w:pPr>
          </w:p>
        </w:tc>
        <w:tc>
          <w:tcPr>
            <w:tcW w:w="1550" w:type="dxa"/>
            <w:vAlign w:val="center"/>
          </w:tcPr>
          <w:p>
            <w:pPr>
              <w:widowControl/>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应用心理学</w:t>
            </w:r>
          </w:p>
        </w:tc>
        <w:tc>
          <w:tcPr>
            <w:tcW w:w="1256" w:type="dxa"/>
            <w:vAlign w:val="center"/>
          </w:tcPr>
          <w:p>
            <w:pPr>
              <w:widowControl/>
              <w:spacing w:line="400" w:lineRule="exact"/>
              <w:jc w:val="center"/>
              <w:rPr>
                <w:rFonts w:ascii="宋体" w:hAnsi="宋体"/>
                <w:kern w:val="0"/>
                <w:sz w:val="24"/>
                <w:szCs w:val="24"/>
                <w:highlight w:val="yellow"/>
              </w:rPr>
            </w:pPr>
            <w:r>
              <w:rPr>
                <w:rFonts w:hint="eastAsia" w:ascii="宋体" w:hAnsi="宋体"/>
                <w:kern w:val="0"/>
                <w:sz w:val="24"/>
                <w:szCs w:val="24"/>
              </w:rPr>
              <w:t>师范</w:t>
            </w:r>
          </w:p>
        </w:tc>
        <w:tc>
          <w:tcPr>
            <w:tcW w:w="5803" w:type="dxa"/>
            <w:vMerge w:val="continue"/>
            <w:vAlign w:val="center"/>
          </w:tcPr>
          <w:p>
            <w:pPr>
              <w:widowControl/>
              <w:spacing w:line="400" w:lineRule="exact"/>
              <w:jc w:val="left"/>
              <w:rPr>
                <w:rFonts w:ascii="宋体" w:hAnsi="宋体"/>
                <w:kern w:val="0"/>
                <w:sz w:val="24"/>
                <w:szCs w:val="24"/>
              </w:rPr>
            </w:pP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ascii="宋体" w:hAnsi="宋体"/>
                <w:kern w:val="0"/>
                <w:sz w:val="24"/>
                <w:szCs w:val="24"/>
              </w:rPr>
              <w:t>外国语学院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125</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商务英语</w:t>
            </w:r>
          </w:p>
        </w:tc>
        <w:tc>
          <w:tcPr>
            <w:tcW w:w="1256" w:type="dxa"/>
            <w:vAlign w:val="center"/>
          </w:tcPr>
          <w:p>
            <w:pPr>
              <w:widowControl/>
              <w:spacing w:line="400" w:lineRule="exact"/>
              <w:jc w:val="center"/>
              <w:rPr>
                <w:rFonts w:ascii="宋体" w:hAnsi="宋体"/>
                <w:kern w:val="0"/>
                <w:sz w:val="24"/>
                <w:szCs w:val="24"/>
              </w:rPr>
            </w:pPr>
          </w:p>
        </w:tc>
        <w:tc>
          <w:tcPr>
            <w:tcW w:w="5803"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按照学校文件规定的综合成绩排名依次接收。</w:t>
            </w: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翻译</w:t>
            </w:r>
          </w:p>
        </w:tc>
        <w:tc>
          <w:tcPr>
            <w:tcW w:w="1256" w:type="dxa"/>
            <w:vAlign w:val="center"/>
          </w:tcPr>
          <w:p>
            <w:pPr>
              <w:widowControl/>
              <w:spacing w:line="400" w:lineRule="exact"/>
              <w:jc w:val="center"/>
              <w:rPr>
                <w:rFonts w:ascii="宋体" w:hAnsi="宋体"/>
                <w:kern w:val="0"/>
                <w:sz w:val="24"/>
                <w:szCs w:val="24"/>
              </w:rPr>
            </w:pPr>
          </w:p>
        </w:tc>
        <w:tc>
          <w:tcPr>
            <w:tcW w:w="5803"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按照学校文件规定的综合成绩排名依次接收。</w:t>
            </w:r>
          </w:p>
        </w:tc>
        <w:tc>
          <w:tcPr>
            <w:tcW w:w="1550"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日语</w:t>
            </w:r>
          </w:p>
        </w:tc>
        <w:tc>
          <w:tcPr>
            <w:tcW w:w="1256" w:type="dxa"/>
            <w:vAlign w:val="center"/>
          </w:tcPr>
          <w:p>
            <w:pPr>
              <w:widowControl/>
              <w:spacing w:line="400" w:lineRule="exact"/>
              <w:jc w:val="center"/>
              <w:rPr>
                <w:rFonts w:ascii="宋体" w:hAnsi="宋体"/>
                <w:kern w:val="0"/>
                <w:sz w:val="24"/>
                <w:szCs w:val="24"/>
              </w:rPr>
            </w:pPr>
          </w:p>
        </w:tc>
        <w:tc>
          <w:tcPr>
            <w:tcW w:w="5803" w:type="dxa"/>
            <w:vAlign w:val="center"/>
          </w:tcPr>
          <w:p>
            <w:pPr>
              <w:jc w:val="left"/>
              <w:rPr>
                <w:rFonts w:ascii="宋体" w:hAnsi="宋体"/>
                <w:kern w:val="0"/>
                <w:sz w:val="24"/>
                <w:szCs w:val="24"/>
              </w:rPr>
            </w:pPr>
            <w:r>
              <w:rPr>
                <w:rFonts w:hint="eastAsia" w:ascii="宋体" w:hAnsi="宋体"/>
                <w:kern w:val="0"/>
                <w:sz w:val="24"/>
                <w:szCs w:val="24"/>
              </w:rPr>
              <w:t>需通过转入学院日语专业考核，按照课程成绩排名依次接收。</w:t>
            </w:r>
          </w:p>
        </w:tc>
        <w:tc>
          <w:tcPr>
            <w:tcW w:w="1550" w:type="dxa"/>
            <w:vAlign w:val="center"/>
          </w:tcPr>
          <w:p>
            <w:pPr>
              <w:widowControl/>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朝鲜语</w:t>
            </w:r>
          </w:p>
        </w:tc>
        <w:tc>
          <w:tcPr>
            <w:tcW w:w="1256" w:type="dxa"/>
            <w:vAlign w:val="center"/>
          </w:tcPr>
          <w:p>
            <w:pPr>
              <w:spacing w:line="400" w:lineRule="exact"/>
              <w:jc w:val="center"/>
              <w:rPr>
                <w:rFonts w:ascii="宋体" w:hAnsi="宋体"/>
                <w:kern w:val="0"/>
                <w:sz w:val="24"/>
                <w:szCs w:val="24"/>
              </w:rPr>
            </w:pPr>
          </w:p>
        </w:tc>
        <w:tc>
          <w:tcPr>
            <w:tcW w:w="5803" w:type="dxa"/>
            <w:vAlign w:val="center"/>
          </w:tcPr>
          <w:p>
            <w:pPr>
              <w:jc w:val="left"/>
              <w:rPr>
                <w:rFonts w:ascii="宋体" w:hAnsi="宋体"/>
                <w:kern w:val="0"/>
                <w:sz w:val="24"/>
                <w:szCs w:val="24"/>
              </w:rPr>
            </w:pPr>
            <w:r>
              <w:rPr>
                <w:rFonts w:hint="eastAsia" w:ascii="宋体" w:hAnsi="宋体"/>
                <w:kern w:val="0"/>
                <w:sz w:val="24"/>
                <w:szCs w:val="24"/>
              </w:rPr>
              <w:t>需通过转入学院朝鲜语专业考核，按照课程成绩排名依次接收。</w:t>
            </w:r>
          </w:p>
        </w:tc>
        <w:tc>
          <w:tcPr>
            <w:tcW w:w="1550" w:type="dxa"/>
            <w:vAlign w:val="center"/>
          </w:tcPr>
          <w:p>
            <w:pPr>
              <w:widowControl/>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restart"/>
            <w:vAlign w:val="center"/>
          </w:tcPr>
          <w:p>
            <w:pPr>
              <w:jc w:val="center"/>
              <w:rPr>
                <w:rFonts w:ascii="宋体" w:hAnsi="宋体"/>
                <w:kern w:val="0"/>
                <w:sz w:val="24"/>
                <w:szCs w:val="24"/>
              </w:rPr>
            </w:pPr>
            <w:r>
              <w:rPr>
                <w:rFonts w:ascii="宋体" w:hAnsi="宋体"/>
                <w:kern w:val="0"/>
                <w:sz w:val="24"/>
                <w:szCs w:val="24"/>
              </w:rPr>
              <w:t>数学与统计学院</w:t>
            </w:r>
          </w:p>
          <w:p>
            <w:pPr>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6</w:t>
            </w:r>
            <w:r>
              <w:rPr>
                <w:rFonts w:hint="eastAsia" w:ascii="宋体" w:hAnsi="宋体"/>
                <w:kern w:val="0"/>
                <w:sz w:val="24"/>
                <w:szCs w:val="24"/>
              </w:rPr>
              <w:t>人）</w:t>
            </w:r>
          </w:p>
        </w:tc>
        <w:tc>
          <w:tcPr>
            <w:tcW w:w="3286" w:type="dxa"/>
            <w:vAlign w:val="center"/>
          </w:tcPr>
          <w:p>
            <w:pPr>
              <w:jc w:val="center"/>
              <w:rPr>
                <w:rFonts w:ascii="宋体" w:hAnsi="宋体"/>
                <w:kern w:val="0"/>
                <w:sz w:val="24"/>
                <w:szCs w:val="24"/>
              </w:rPr>
            </w:pPr>
            <w:r>
              <w:rPr>
                <w:rFonts w:ascii="宋体" w:hAnsi="宋体"/>
                <w:kern w:val="0"/>
                <w:sz w:val="24"/>
                <w:szCs w:val="24"/>
              </w:rPr>
              <w:t>数学与应用数学</w:t>
            </w:r>
          </w:p>
        </w:tc>
        <w:tc>
          <w:tcPr>
            <w:tcW w:w="1256" w:type="dxa"/>
            <w:vAlign w:val="center"/>
          </w:tcPr>
          <w:p>
            <w:pPr>
              <w:jc w:val="center"/>
              <w:rPr>
                <w:rFonts w:ascii="宋体" w:hAnsi="宋体"/>
                <w:kern w:val="0"/>
                <w:sz w:val="24"/>
                <w:szCs w:val="24"/>
              </w:rPr>
            </w:pPr>
            <w:r>
              <w:rPr>
                <w:rFonts w:hint="eastAsia" w:ascii="宋体" w:hAnsi="宋体"/>
                <w:kern w:val="0"/>
                <w:sz w:val="24"/>
                <w:szCs w:val="24"/>
              </w:rPr>
              <w:t>师范</w:t>
            </w:r>
          </w:p>
        </w:tc>
        <w:tc>
          <w:tcPr>
            <w:tcW w:w="5803" w:type="dxa"/>
            <w:vAlign w:val="center"/>
          </w:tcPr>
          <w:p>
            <w:pPr>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且已经修读高等数学课程者可报名，按照课程成绩排名依次接收。</w:t>
            </w:r>
          </w:p>
        </w:tc>
        <w:tc>
          <w:tcPr>
            <w:tcW w:w="1550" w:type="dxa"/>
            <w:vAlign w:val="center"/>
          </w:tcPr>
          <w:p>
            <w:pPr>
              <w:widowControl/>
              <w:spacing w:line="28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hint="eastAsia" w:ascii="宋体" w:hAnsi="宋体"/>
                <w:kern w:val="0"/>
                <w:sz w:val="24"/>
                <w:szCs w:val="24"/>
              </w:rPr>
            </w:pPr>
          </w:p>
        </w:tc>
        <w:tc>
          <w:tcPr>
            <w:tcW w:w="3286" w:type="dxa"/>
            <w:vAlign w:val="center"/>
          </w:tcPr>
          <w:p>
            <w:pPr>
              <w:jc w:val="center"/>
              <w:rPr>
                <w:rFonts w:ascii="宋体" w:hAnsi="宋体"/>
                <w:kern w:val="0"/>
                <w:sz w:val="24"/>
                <w:szCs w:val="24"/>
              </w:rPr>
            </w:pPr>
            <w:r>
              <w:rPr>
                <w:rFonts w:ascii="宋体" w:hAnsi="宋体"/>
                <w:kern w:val="0"/>
                <w:sz w:val="24"/>
                <w:szCs w:val="24"/>
              </w:rPr>
              <w:t>统计学</w:t>
            </w:r>
          </w:p>
        </w:tc>
        <w:tc>
          <w:tcPr>
            <w:tcW w:w="1256" w:type="dxa"/>
            <w:vAlign w:val="center"/>
          </w:tcPr>
          <w:p>
            <w:pPr>
              <w:jc w:val="center"/>
              <w:rPr>
                <w:rFonts w:hint="eastAsia" w:ascii="宋体" w:hAnsi="宋体"/>
                <w:kern w:val="0"/>
                <w:sz w:val="24"/>
                <w:szCs w:val="24"/>
              </w:rPr>
            </w:pPr>
          </w:p>
        </w:tc>
        <w:tc>
          <w:tcPr>
            <w:tcW w:w="5803" w:type="dxa"/>
            <w:vAlign w:val="center"/>
          </w:tcPr>
          <w:p>
            <w:pPr>
              <w:rPr>
                <w:rFonts w:hint="eastAsia" w:ascii="宋体" w:hAnsi="宋体"/>
                <w:kern w:val="0"/>
                <w:sz w:val="24"/>
                <w:szCs w:val="24"/>
              </w:rPr>
            </w:pPr>
            <w:r>
              <w:rPr>
                <w:rFonts w:hint="eastAsia" w:ascii="宋体" w:hAnsi="宋体"/>
                <w:kern w:val="0"/>
                <w:sz w:val="24"/>
                <w:szCs w:val="24"/>
              </w:rPr>
              <w:t>需已经修读高等数学课程，按照课程成绩排名依次接收。</w:t>
            </w:r>
          </w:p>
        </w:tc>
        <w:tc>
          <w:tcPr>
            <w:tcW w:w="1550" w:type="dxa"/>
            <w:vAlign w:val="center"/>
          </w:tcPr>
          <w:p>
            <w:pPr>
              <w:widowControl/>
              <w:spacing w:line="28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ascii="宋体" w:hAnsi="宋体"/>
                <w:kern w:val="0"/>
                <w:sz w:val="24"/>
                <w:szCs w:val="24"/>
              </w:rPr>
            </w:pPr>
          </w:p>
        </w:tc>
        <w:tc>
          <w:tcPr>
            <w:tcW w:w="3286" w:type="dxa"/>
            <w:vAlign w:val="center"/>
          </w:tcPr>
          <w:p>
            <w:pPr>
              <w:jc w:val="center"/>
              <w:rPr>
                <w:rFonts w:ascii="宋体" w:hAnsi="宋体"/>
                <w:kern w:val="0"/>
                <w:sz w:val="24"/>
                <w:szCs w:val="24"/>
              </w:rPr>
            </w:pPr>
            <w:r>
              <w:rPr>
                <w:rFonts w:ascii="宋体" w:hAnsi="宋体"/>
                <w:kern w:val="0"/>
                <w:sz w:val="24"/>
                <w:szCs w:val="24"/>
              </w:rPr>
              <w:t>信息与计算科学</w:t>
            </w:r>
          </w:p>
        </w:tc>
        <w:tc>
          <w:tcPr>
            <w:tcW w:w="1256" w:type="dxa"/>
            <w:vAlign w:val="center"/>
          </w:tcPr>
          <w:p>
            <w:pPr>
              <w:jc w:val="center"/>
              <w:rPr>
                <w:rFonts w:ascii="宋体" w:hAnsi="宋体"/>
                <w:kern w:val="0"/>
                <w:sz w:val="24"/>
                <w:szCs w:val="24"/>
              </w:rPr>
            </w:pPr>
            <w:r>
              <w:rPr>
                <w:rFonts w:hint="eastAsia" w:ascii="宋体" w:hAnsi="宋体"/>
                <w:kern w:val="0"/>
                <w:sz w:val="24"/>
                <w:szCs w:val="24"/>
              </w:rPr>
              <w:t>　</w:t>
            </w:r>
          </w:p>
        </w:tc>
        <w:tc>
          <w:tcPr>
            <w:tcW w:w="5803" w:type="dxa"/>
            <w:vAlign w:val="center"/>
          </w:tcPr>
          <w:p>
            <w:pPr>
              <w:rPr>
                <w:rFonts w:ascii="宋体" w:hAnsi="宋体"/>
                <w:kern w:val="0"/>
                <w:sz w:val="24"/>
                <w:szCs w:val="24"/>
              </w:rPr>
            </w:pPr>
            <w:r>
              <w:rPr>
                <w:rFonts w:hint="eastAsia" w:ascii="宋体" w:hAnsi="宋体"/>
                <w:kern w:val="0"/>
                <w:sz w:val="24"/>
                <w:szCs w:val="24"/>
              </w:rPr>
              <w:t>需已经修读高等数学课程，按照课程成绩排名依次接收。</w:t>
            </w:r>
          </w:p>
        </w:tc>
        <w:tc>
          <w:tcPr>
            <w:tcW w:w="1550" w:type="dxa"/>
            <w:vAlign w:val="center"/>
          </w:tcPr>
          <w:p>
            <w:pPr>
              <w:widowControl/>
              <w:spacing w:line="28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restart"/>
            <w:vAlign w:val="center"/>
          </w:tcPr>
          <w:p>
            <w:pPr>
              <w:jc w:val="center"/>
              <w:rPr>
                <w:rFonts w:ascii="宋体" w:hAnsi="宋体"/>
                <w:kern w:val="0"/>
                <w:sz w:val="24"/>
                <w:szCs w:val="24"/>
              </w:rPr>
            </w:pPr>
            <w:r>
              <w:rPr>
                <w:rFonts w:ascii="宋体" w:hAnsi="宋体"/>
                <w:kern w:val="0"/>
                <w:sz w:val="24"/>
                <w:szCs w:val="24"/>
              </w:rPr>
              <w:t>物理科学与技术学院</w:t>
            </w:r>
          </w:p>
          <w:p>
            <w:pPr>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7</w:t>
            </w:r>
            <w:r>
              <w:rPr>
                <w:rFonts w:hint="eastAsia" w:ascii="宋体" w:hAnsi="宋体"/>
                <w:kern w:val="0"/>
                <w:sz w:val="24"/>
                <w:szCs w:val="24"/>
              </w:rPr>
              <w:t>人）</w:t>
            </w:r>
          </w:p>
        </w:tc>
        <w:tc>
          <w:tcPr>
            <w:tcW w:w="3286" w:type="dxa"/>
            <w:vAlign w:val="center"/>
          </w:tcPr>
          <w:p>
            <w:pPr>
              <w:jc w:val="center"/>
              <w:rPr>
                <w:rFonts w:ascii="宋体" w:hAnsi="宋体" w:eastAsia="宋体" w:cs="Times New Roman"/>
                <w:kern w:val="0"/>
                <w:sz w:val="24"/>
                <w:szCs w:val="24"/>
                <w:lang w:val="en-US" w:eastAsia="zh-CN" w:bidi="ar-SA"/>
              </w:rPr>
            </w:pPr>
            <w:r>
              <w:rPr>
                <w:rFonts w:ascii="宋体" w:hAnsi="宋体"/>
                <w:kern w:val="0"/>
                <w:sz w:val="24"/>
                <w:szCs w:val="24"/>
              </w:rPr>
              <w:t>物理学</w:t>
            </w:r>
          </w:p>
        </w:tc>
        <w:tc>
          <w:tcPr>
            <w:tcW w:w="1256" w:type="dxa"/>
            <w:vAlign w:val="center"/>
          </w:tcPr>
          <w:p>
            <w:pPr>
              <w:jc w:val="center"/>
              <w:rPr>
                <w:rFonts w:ascii="宋体" w:hAnsi="宋体" w:eastAsia="宋体" w:cs="Times New Roman"/>
                <w:kern w:val="0"/>
                <w:sz w:val="24"/>
                <w:szCs w:val="24"/>
                <w:lang w:val="en-US" w:eastAsia="zh-CN" w:bidi="ar-SA"/>
              </w:rPr>
            </w:pPr>
            <w:r>
              <w:rPr>
                <w:rFonts w:hint="eastAsia" w:ascii="宋体" w:hAnsi="宋体"/>
                <w:kern w:val="0"/>
                <w:sz w:val="24"/>
                <w:szCs w:val="24"/>
              </w:rPr>
              <w:t>师范</w:t>
            </w:r>
          </w:p>
        </w:tc>
        <w:tc>
          <w:tcPr>
            <w:tcW w:w="5803" w:type="dxa"/>
            <w:vAlign w:val="center"/>
          </w:tcPr>
          <w:p>
            <w:pPr>
              <w:rPr>
                <w:rFonts w:ascii="宋体" w:hAnsi="宋体" w:eastAsia="宋体" w:cs="Times New Roman"/>
                <w:kern w:val="0"/>
                <w:sz w:val="24"/>
                <w:szCs w:val="24"/>
                <w:lang w:val="en-US" w:eastAsia="zh-CN" w:bidi="ar-SA"/>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且已经修读高等数学课程者可报名，按照课程成绩排名依次接收。</w:t>
            </w:r>
          </w:p>
        </w:tc>
        <w:tc>
          <w:tcPr>
            <w:tcW w:w="1550" w:type="dxa"/>
            <w:vAlign w:val="center"/>
          </w:tcPr>
          <w:p>
            <w:pPr>
              <w:widowControl/>
              <w:spacing w:line="280" w:lineRule="exact"/>
              <w:jc w:val="center"/>
              <w:rPr>
                <w:rFonts w:ascii="宋体" w:hAnsi="宋体" w:eastAsia="宋体" w:cs="Times New Roman"/>
                <w:b/>
                <w:color w:val="auto"/>
                <w:kern w:val="0"/>
                <w:sz w:val="24"/>
                <w:szCs w:val="24"/>
                <w:lang w:val="en-US" w:eastAsia="zh-CN" w:bidi="ar-SA"/>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ascii="宋体" w:hAnsi="宋体"/>
                <w:kern w:val="0"/>
                <w:sz w:val="24"/>
                <w:szCs w:val="24"/>
              </w:rPr>
            </w:pPr>
          </w:p>
        </w:tc>
        <w:tc>
          <w:tcPr>
            <w:tcW w:w="3286" w:type="dxa"/>
            <w:vAlign w:val="center"/>
          </w:tcPr>
          <w:p>
            <w:pPr>
              <w:jc w:val="center"/>
              <w:rPr>
                <w:rFonts w:ascii="宋体" w:hAnsi="宋体"/>
                <w:kern w:val="0"/>
                <w:sz w:val="24"/>
                <w:szCs w:val="24"/>
              </w:rPr>
            </w:pPr>
            <w:r>
              <w:rPr>
                <w:rFonts w:ascii="宋体" w:hAnsi="宋体"/>
                <w:kern w:val="0"/>
                <w:sz w:val="24"/>
                <w:szCs w:val="24"/>
              </w:rPr>
              <w:t>科学教育</w:t>
            </w:r>
          </w:p>
        </w:tc>
        <w:tc>
          <w:tcPr>
            <w:tcW w:w="1256" w:type="dxa"/>
            <w:vAlign w:val="center"/>
          </w:tcPr>
          <w:p>
            <w:pPr>
              <w:jc w:val="center"/>
              <w:rPr>
                <w:rFonts w:ascii="宋体" w:hAnsi="宋体"/>
                <w:kern w:val="0"/>
                <w:sz w:val="24"/>
                <w:szCs w:val="24"/>
              </w:rPr>
            </w:pPr>
            <w:r>
              <w:rPr>
                <w:rFonts w:hint="eastAsia" w:ascii="宋体" w:hAnsi="宋体"/>
                <w:kern w:val="0"/>
                <w:sz w:val="24"/>
                <w:szCs w:val="24"/>
              </w:rPr>
              <w:t>师范</w:t>
            </w:r>
          </w:p>
        </w:tc>
        <w:tc>
          <w:tcPr>
            <w:tcW w:w="5803" w:type="dxa"/>
            <w:vAlign w:val="center"/>
          </w:tcPr>
          <w:p>
            <w:pPr>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者可报名，按照课程成绩排名依次接收。</w:t>
            </w:r>
          </w:p>
        </w:tc>
        <w:tc>
          <w:tcPr>
            <w:tcW w:w="1550" w:type="dxa"/>
            <w:vAlign w:val="center"/>
          </w:tcPr>
          <w:p>
            <w:pPr>
              <w:widowControl/>
              <w:spacing w:line="28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ascii="宋体" w:hAnsi="宋体"/>
                <w:kern w:val="0"/>
                <w:sz w:val="24"/>
                <w:szCs w:val="24"/>
              </w:rPr>
            </w:pPr>
          </w:p>
        </w:tc>
        <w:tc>
          <w:tcPr>
            <w:tcW w:w="3286" w:type="dxa"/>
            <w:vAlign w:val="center"/>
          </w:tcPr>
          <w:p>
            <w:pPr>
              <w:jc w:val="center"/>
              <w:rPr>
                <w:rFonts w:ascii="宋体" w:hAnsi="宋体" w:eastAsia="宋体" w:cs="Times New Roman"/>
                <w:kern w:val="0"/>
                <w:sz w:val="24"/>
                <w:szCs w:val="24"/>
                <w:lang w:val="en-US" w:eastAsia="zh-CN" w:bidi="ar-SA"/>
              </w:rPr>
            </w:pPr>
            <w:r>
              <w:rPr>
                <w:rFonts w:ascii="宋体" w:hAnsi="宋体"/>
                <w:kern w:val="0"/>
                <w:sz w:val="24"/>
                <w:szCs w:val="24"/>
              </w:rPr>
              <w:t>测控技术与仪器</w:t>
            </w:r>
          </w:p>
        </w:tc>
        <w:tc>
          <w:tcPr>
            <w:tcW w:w="1256" w:type="dxa"/>
            <w:vAlign w:val="center"/>
          </w:tcPr>
          <w:p>
            <w:pPr>
              <w:jc w:val="center"/>
              <w:rPr>
                <w:rFonts w:hint="eastAsia" w:ascii="宋体" w:hAnsi="宋体" w:eastAsia="宋体" w:cs="Times New Roman"/>
                <w:kern w:val="0"/>
                <w:sz w:val="24"/>
                <w:szCs w:val="24"/>
                <w:lang w:val="en-US" w:eastAsia="zh-CN" w:bidi="ar-SA"/>
              </w:rPr>
            </w:pPr>
            <w:r>
              <w:rPr>
                <w:rFonts w:hint="eastAsia" w:ascii="宋体" w:hAnsi="宋体"/>
                <w:kern w:val="0"/>
                <w:sz w:val="24"/>
                <w:szCs w:val="24"/>
              </w:rPr>
              <w:t>　</w:t>
            </w:r>
          </w:p>
        </w:tc>
        <w:tc>
          <w:tcPr>
            <w:tcW w:w="5803" w:type="dxa"/>
            <w:vAlign w:val="center"/>
          </w:tcPr>
          <w:p>
            <w:pPr>
              <w:rPr>
                <w:rFonts w:hint="eastAsia" w:ascii="宋体" w:hAnsi="宋体" w:eastAsia="宋体" w:cs="Times New Roman"/>
                <w:kern w:val="0"/>
                <w:sz w:val="24"/>
                <w:szCs w:val="24"/>
                <w:lang w:val="en-US" w:eastAsia="zh-CN" w:bidi="ar-SA"/>
              </w:rPr>
            </w:pPr>
            <w:r>
              <w:rPr>
                <w:rFonts w:hint="eastAsia" w:ascii="宋体" w:hAnsi="宋体"/>
                <w:kern w:val="0"/>
                <w:sz w:val="24"/>
                <w:szCs w:val="24"/>
              </w:rPr>
              <w:t>需已经修读高等数学课程，按照课程成绩排名依次接收。</w:t>
            </w:r>
          </w:p>
        </w:tc>
        <w:tc>
          <w:tcPr>
            <w:tcW w:w="1550" w:type="dxa"/>
            <w:vAlign w:val="center"/>
          </w:tcPr>
          <w:p>
            <w:pPr>
              <w:widowControl/>
              <w:spacing w:line="280" w:lineRule="exact"/>
              <w:jc w:val="center"/>
              <w:rPr>
                <w:rFonts w:hint="eastAsia" w:ascii="宋体" w:hAnsi="宋体" w:eastAsia="宋体" w:cs="Times New Roman"/>
                <w:b/>
                <w:color w:val="auto"/>
                <w:kern w:val="0"/>
                <w:sz w:val="24"/>
                <w:szCs w:val="24"/>
                <w:lang w:val="en-US" w:eastAsia="zh-CN" w:bidi="ar-SA"/>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化学与药学学院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9</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化学</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师范</w:t>
            </w:r>
          </w:p>
        </w:tc>
        <w:tc>
          <w:tcPr>
            <w:tcW w:w="5803" w:type="dxa"/>
            <w:vAlign w:val="center"/>
          </w:tcPr>
          <w:p>
            <w:pPr>
              <w:widowControl/>
              <w:spacing w:line="280" w:lineRule="exact"/>
              <w:jc w:val="left"/>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且已经修读高等数学课程者可报名，按照课程成绩排名依次接收。</w:t>
            </w:r>
          </w:p>
        </w:tc>
        <w:tc>
          <w:tcPr>
            <w:tcW w:w="1550" w:type="dxa"/>
            <w:vAlign w:val="center"/>
          </w:tcPr>
          <w:p>
            <w:pPr>
              <w:widowControl/>
              <w:spacing w:line="28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应用化学</w:t>
            </w:r>
          </w:p>
        </w:tc>
        <w:tc>
          <w:tcPr>
            <w:tcW w:w="1256" w:type="dxa"/>
            <w:vAlign w:val="center"/>
          </w:tcPr>
          <w:p>
            <w:pPr>
              <w:widowControl/>
              <w:spacing w:line="400" w:lineRule="exact"/>
              <w:jc w:val="center"/>
              <w:rPr>
                <w:rFonts w:ascii="宋体" w:hAnsi="宋体"/>
                <w:kern w:val="0"/>
                <w:sz w:val="24"/>
                <w:szCs w:val="24"/>
              </w:rPr>
            </w:pPr>
          </w:p>
        </w:tc>
        <w:tc>
          <w:tcPr>
            <w:tcW w:w="5803"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widowControl/>
              <w:spacing w:line="28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制药工程</w:t>
            </w:r>
          </w:p>
        </w:tc>
        <w:tc>
          <w:tcPr>
            <w:tcW w:w="1256" w:type="dxa"/>
            <w:vAlign w:val="center"/>
          </w:tcPr>
          <w:p>
            <w:pPr>
              <w:widowControl/>
              <w:spacing w:line="400" w:lineRule="exact"/>
              <w:jc w:val="center"/>
              <w:rPr>
                <w:rFonts w:ascii="宋体" w:hAnsi="宋体"/>
                <w:kern w:val="0"/>
                <w:sz w:val="24"/>
                <w:szCs w:val="24"/>
              </w:rPr>
            </w:pPr>
          </w:p>
        </w:tc>
        <w:tc>
          <w:tcPr>
            <w:tcW w:w="5803" w:type="dxa"/>
            <w:vMerge w:val="continue"/>
            <w:vAlign w:val="center"/>
          </w:tcPr>
          <w:p>
            <w:pPr>
              <w:widowControl/>
              <w:spacing w:line="280" w:lineRule="exact"/>
              <w:jc w:val="left"/>
              <w:rPr>
                <w:rFonts w:ascii="宋体" w:hAnsi="宋体"/>
                <w:kern w:val="0"/>
                <w:sz w:val="24"/>
                <w:szCs w:val="24"/>
              </w:rPr>
            </w:pPr>
          </w:p>
        </w:tc>
        <w:tc>
          <w:tcPr>
            <w:tcW w:w="1550" w:type="dxa"/>
            <w:vAlign w:val="center"/>
          </w:tcPr>
          <w:p>
            <w:pPr>
              <w:widowControl/>
              <w:spacing w:line="28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生命科学学院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8</w:t>
            </w:r>
            <w:r>
              <w:rPr>
                <w:rFonts w:hint="eastAsia" w:ascii="宋体" w:hAnsi="宋体"/>
                <w:kern w:val="0"/>
                <w:sz w:val="24"/>
                <w:szCs w:val="24"/>
              </w:rPr>
              <w:t>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生物科学</w:t>
            </w:r>
          </w:p>
        </w:tc>
        <w:tc>
          <w:tcPr>
            <w:tcW w:w="1256" w:type="dxa"/>
            <w:vAlign w:val="center"/>
          </w:tcPr>
          <w:p>
            <w:pPr>
              <w:spacing w:line="400" w:lineRule="exact"/>
              <w:jc w:val="center"/>
              <w:rPr>
                <w:rFonts w:ascii="宋体" w:hAnsi="宋体"/>
                <w:kern w:val="0"/>
                <w:sz w:val="24"/>
                <w:szCs w:val="24"/>
              </w:rPr>
            </w:pPr>
            <w:r>
              <w:rPr>
                <w:rFonts w:ascii="宋体" w:hAnsi="宋体"/>
                <w:kern w:val="0"/>
                <w:sz w:val="24"/>
                <w:szCs w:val="24"/>
              </w:rPr>
              <w:t>师范</w:t>
            </w:r>
          </w:p>
        </w:tc>
        <w:tc>
          <w:tcPr>
            <w:tcW w:w="5803" w:type="dxa"/>
            <w:vAlign w:val="center"/>
          </w:tcPr>
          <w:p>
            <w:pPr>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且已经修读高等数学课程者可报名，按照课程成绩排名依次接收。</w:t>
            </w:r>
          </w:p>
        </w:tc>
        <w:tc>
          <w:tcPr>
            <w:tcW w:w="1550"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生物技术</w:t>
            </w:r>
          </w:p>
        </w:tc>
        <w:tc>
          <w:tcPr>
            <w:tcW w:w="1256" w:type="dxa"/>
            <w:vAlign w:val="center"/>
          </w:tcPr>
          <w:p>
            <w:pPr>
              <w:spacing w:line="400" w:lineRule="exact"/>
              <w:jc w:val="center"/>
              <w:rPr>
                <w:rFonts w:ascii="宋体" w:hAnsi="宋体"/>
                <w:kern w:val="0"/>
                <w:sz w:val="24"/>
                <w:szCs w:val="24"/>
              </w:rPr>
            </w:pPr>
          </w:p>
        </w:tc>
        <w:tc>
          <w:tcPr>
            <w:tcW w:w="5803"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生态学</w:t>
            </w:r>
          </w:p>
        </w:tc>
        <w:tc>
          <w:tcPr>
            <w:tcW w:w="1256" w:type="dxa"/>
            <w:vAlign w:val="center"/>
          </w:tcPr>
          <w:p>
            <w:pPr>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环境与资源学院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30</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eastAsia="宋体" w:cs="Times New Roman"/>
                <w:kern w:val="0"/>
                <w:sz w:val="24"/>
                <w:szCs w:val="24"/>
                <w:lang w:val="en-US" w:eastAsia="zh-CN" w:bidi="ar-SA"/>
              </w:rPr>
            </w:pPr>
            <w:r>
              <w:rPr>
                <w:rFonts w:ascii="宋体" w:hAnsi="宋体"/>
                <w:kern w:val="0"/>
                <w:sz w:val="24"/>
                <w:szCs w:val="24"/>
              </w:rPr>
              <w:t>地理科学</w:t>
            </w:r>
          </w:p>
        </w:tc>
        <w:tc>
          <w:tcPr>
            <w:tcW w:w="1256" w:type="dxa"/>
            <w:vAlign w:val="center"/>
          </w:tcPr>
          <w:p>
            <w:pPr>
              <w:widowControl/>
              <w:spacing w:line="400" w:lineRule="exact"/>
              <w:jc w:val="center"/>
              <w:rPr>
                <w:rFonts w:ascii="宋体" w:hAnsi="宋体" w:eastAsia="宋体" w:cs="Times New Roman"/>
                <w:kern w:val="0"/>
                <w:sz w:val="24"/>
                <w:szCs w:val="24"/>
                <w:lang w:val="en-US" w:eastAsia="zh-CN" w:bidi="ar-SA"/>
              </w:rPr>
            </w:pPr>
            <w:r>
              <w:rPr>
                <w:rFonts w:hint="eastAsia" w:ascii="宋体" w:hAnsi="宋体"/>
                <w:kern w:val="0"/>
                <w:sz w:val="24"/>
                <w:szCs w:val="24"/>
              </w:rPr>
              <w:t>师范</w:t>
            </w:r>
          </w:p>
        </w:tc>
        <w:tc>
          <w:tcPr>
            <w:tcW w:w="5803" w:type="dxa"/>
            <w:vAlign w:val="center"/>
          </w:tcPr>
          <w:p>
            <w:pPr>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hint="eastAsia" w:ascii="宋体" w:hAnsi="宋体"/>
                <w:kern w:val="0"/>
                <w:sz w:val="24"/>
                <w:szCs w:val="24"/>
                <w:lang w:eastAsia="zh-CN"/>
              </w:rPr>
              <w:t>40%</w:t>
            </w:r>
            <w:r>
              <w:rPr>
                <w:rFonts w:hint="eastAsia" w:ascii="宋体" w:hAnsi="宋体"/>
                <w:kern w:val="0"/>
                <w:sz w:val="24"/>
                <w:szCs w:val="24"/>
              </w:rPr>
              <w:t>且已经修读高等数学课程者可报名，按照课程成绩排名依次接收。</w:t>
            </w:r>
          </w:p>
        </w:tc>
        <w:tc>
          <w:tcPr>
            <w:tcW w:w="1550" w:type="dxa"/>
            <w:vAlign w:val="center"/>
          </w:tcPr>
          <w:p>
            <w:pPr>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eastAsia="宋体" w:cs="Times New Roman"/>
                <w:kern w:val="0"/>
                <w:sz w:val="24"/>
                <w:szCs w:val="24"/>
                <w:lang w:val="en-US" w:eastAsia="zh-CN" w:bidi="ar-SA"/>
              </w:rPr>
            </w:pPr>
            <w:r>
              <w:rPr>
                <w:rFonts w:ascii="宋体" w:hAnsi="宋体"/>
                <w:kern w:val="0"/>
                <w:sz w:val="24"/>
                <w:szCs w:val="24"/>
              </w:rPr>
              <w:t>环境科学</w:t>
            </w:r>
          </w:p>
        </w:tc>
        <w:tc>
          <w:tcPr>
            <w:tcW w:w="1256" w:type="dxa"/>
            <w:vAlign w:val="center"/>
          </w:tcPr>
          <w:p>
            <w:pPr>
              <w:widowControl/>
              <w:spacing w:line="400" w:lineRule="exact"/>
              <w:jc w:val="center"/>
              <w:rPr>
                <w:rFonts w:ascii="宋体" w:hAnsi="宋体" w:eastAsia="宋体" w:cs="Times New Roman"/>
                <w:kern w:val="0"/>
                <w:sz w:val="24"/>
                <w:szCs w:val="24"/>
                <w:lang w:val="en-US" w:eastAsia="zh-CN" w:bidi="ar-SA"/>
              </w:rPr>
            </w:pPr>
          </w:p>
        </w:tc>
        <w:tc>
          <w:tcPr>
            <w:tcW w:w="5803"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hint="default" w:ascii="宋体" w:hAnsi="宋体" w:eastAsia="宋体" w:cs="Times New Roman"/>
                <w:b/>
                <w:color w:val="auto"/>
                <w:kern w:val="0"/>
                <w:sz w:val="24"/>
                <w:szCs w:val="24"/>
                <w:lang w:val="en-US" w:eastAsia="zh-CN" w:bidi="ar-SA"/>
              </w:rPr>
            </w:pPr>
            <w:r>
              <w:rPr>
                <w:rFonts w:hint="eastAsia" w:ascii="宋体" w:hAnsi="宋体"/>
                <w:b/>
                <w:color w:val="auto"/>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环境工程</w:t>
            </w:r>
          </w:p>
        </w:tc>
        <w:tc>
          <w:tcPr>
            <w:tcW w:w="1256" w:type="dxa"/>
            <w:vAlign w:val="center"/>
          </w:tcPr>
          <w:p>
            <w:pPr>
              <w:widowControl/>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地理信息科学</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　</w:t>
            </w:r>
          </w:p>
        </w:tc>
        <w:tc>
          <w:tcPr>
            <w:tcW w:w="5803" w:type="dxa"/>
            <w:vMerge w:val="continue"/>
            <w:vAlign w:val="center"/>
          </w:tcPr>
          <w:p>
            <w:pPr>
              <w:widowControl/>
              <w:spacing w:line="400" w:lineRule="exact"/>
              <w:jc w:val="left"/>
              <w:rPr>
                <w:rFonts w:ascii="宋体" w:hAnsi="宋体"/>
                <w:kern w:val="0"/>
                <w:sz w:val="24"/>
                <w:szCs w:val="24"/>
              </w:rPr>
            </w:pPr>
          </w:p>
        </w:tc>
        <w:tc>
          <w:tcPr>
            <w:tcW w:w="1550"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计算机科学与工程学院/软件学院</w:t>
            </w:r>
          </w:p>
          <w:p>
            <w:pPr>
              <w:widowControl/>
              <w:spacing w:line="400" w:lineRule="exact"/>
              <w:jc w:val="center"/>
              <w:rPr>
                <w:rFonts w:ascii="宋体" w:hAnsi="宋体"/>
                <w:kern w:val="0"/>
                <w:sz w:val="24"/>
                <w:szCs w:val="24"/>
              </w:rPr>
            </w:pPr>
            <w:r>
              <w:rPr>
                <w:rFonts w:hint="eastAsia" w:ascii="宋体" w:hAnsi="宋体"/>
                <w:kern w:val="0"/>
                <w:sz w:val="24"/>
                <w:szCs w:val="24"/>
              </w:rPr>
              <w:t>（1</w:t>
            </w:r>
            <w:r>
              <w:rPr>
                <w:rFonts w:hint="eastAsia" w:ascii="宋体" w:hAnsi="宋体"/>
                <w:kern w:val="0"/>
                <w:sz w:val="24"/>
                <w:szCs w:val="24"/>
                <w:lang w:val="en-US" w:eastAsia="zh-CN"/>
              </w:rPr>
              <w:t>6</w:t>
            </w:r>
            <w:r>
              <w:rPr>
                <w:rFonts w:hint="eastAsia" w:ascii="宋体" w:hAnsi="宋体"/>
                <w:kern w:val="0"/>
                <w:sz w:val="24"/>
                <w:szCs w:val="24"/>
              </w:rPr>
              <w:t>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计算机科学与技术</w:t>
            </w:r>
          </w:p>
        </w:tc>
        <w:tc>
          <w:tcPr>
            <w:tcW w:w="1256" w:type="dxa"/>
            <w:vAlign w:val="center"/>
          </w:tcPr>
          <w:p>
            <w:pPr>
              <w:spacing w:line="400" w:lineRule="exact"/>
              <w:jc w:val="center"/>
              <w:rPr>
                <w:rFonts w:ascii="宋体" w:hAnsi="宋体"/>
                <w:kern w:val="0"/>
                <w:sz w:val="24"/>
                <w:szCs w:val="24"/>
              </w:rPr>
            </w:pPr>
          </w:p>
        </w:tc>
        <w:tc>
          <w:tcPr>
            <w:tcW w:w="5803"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数据科学与大数据技术</w:t>
            </w:r>
          </w:p>
        </w:tc>
        <w:tc>
          <w:tcPr>
            <w:tcW w:w="1256" w:type="dxa"/>
            <w:vAlign w:val="center"/>
          </w:tcPr>
          <w:p>
            <w:pPr>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信息安全</w:t>
            </w:r>
          </w:p>
        </w:tc>
        <w:tc>
          <w:tcPr>
            <w:tcW w:w="1256" w:type="dxa"/>
            <w:vAlign w:val="center"/>
          </w:tcPr>
          <w:p>
            <w:pPr>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软件工程</w:t>
            </w:r>
          </w:p>
        </w:tc>
        <w:tc>
          <w:tcPr>
            <w:tcW w:w="1256" w:type="dxa"/>
            <w:vAlign w:val="center"/>
          </w:tcPr>
          <w:p>
            <w:pPr>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体育与健康</w:t>
            </w:r>
            <w:r>
              <w:rPr>
                <w:rFonts w:ascii="宋体" w:hAnsi="宋体"/>
                <w:kern w:val="0"/>
                <w:sz w:val="24"/>
                <w:szCs w:val="24"/>
              </w:rPr>
              <w:t>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10</w:t>
            </w:r>
            <w:r>
              <w:rPr>
                <w:rFonts w:hint="eastAsia" w:ascii="宋体" w:hAnsi="宋体"/>
                <w:kern w:val="0"/>
                <w:sz w:val="24"/>
                <w:szCs w:val="24"/>
              </w:rPr>
              <w:t>人）</w:t>
            </w:r>
          </w:p>
        </w:tc>
        <w:tc>
          <w:tcPr>
            <w:tcW w:w="3286" w:type="dxa"/>
            <w:vAlign w:val="center"/>
          </w:tcPr>
          <w:p>
            <w:pPr>
              <w:spacing w:line="400" w:lineRule="exact"/>
              <w:jc w:val="center"/>
              <w:rPr>
                <w:rFonts w:ascii="宋体" w:hAnsi="宋体"/>
                <w:b/>
                <w:bCs/>
                <w:kern w:val="0"/>
                <w:sz w:val="24"/>
                <w:szCs w:val="24"/>
              </w:rPr>
            </w:pPr>
            <w:r>
              <w:rPr>
                <w:rFonts w:ascii="宋体" w:hAnsi="宋体"/>
                <w:kern w:val="0"/>
                <w:sz w:val="24"/>
                <w:szCs w:val="24"/>
              </w:rPr>
              <w:t>健康服务与管理</w:t>
            </w:r>
          </w:p>
        </w:tc>
        <w:tc>
          <w:tcPr>
            <w:tcW w:w="1256" w:type="dxa"/>
            <w:vAlign w:val="center"/>
          </w:tcPr>
          <w:p>
            <w:pPr>
              <w:spacing w:line="400" w:lineRule="exact"/>
              <w:jc w:val="center"/>
              <w:rPr>
                <w:rFonts w:ascii="宋体" w:hAnsi="宋体"/>
                <w:kern w:val="0"/>
                <w:sz w:val="24"/>
                <w:szCs w:val="24"/>
              </w:rPr>
            </w:pPr>
          </w:p>
        </w:tc>
        <w:tc>
          <w:tcPr>
            <w:tcW w:w="5803" w:type="dxa"/>
            <w:vAlign w:val="center"/>
          </w:tcPr>
          <w:p>
            <w:pPr>
              <w:spacing w:line="400" w:lineRule="exact"/>
              <w:jc w:val="left"/>
              <w:rPr>
                <w:rFonts w:ascii="宋体" w:hAnsi="宋体"/>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restart"/>
            <w:vAlign w:val="center"/>
          </w:tcPr>
          <w:p>
            <w:pPr>
              <w:widowControl/>
              <w:spacing w:line="400" w:lineRule="exact"/>
              <w:jc w:val="center"/>
              <w:rPr>
                <w:rFonts w:hint="default" w:ascii="宋体" w:hAnsi="宋体" w:eastAsia="宋体"/>
                <w:kern w:val="0"/>
                <w:sz w:val="24"/>
                <w:szCs w:val="24"/>
                <w:lang w:val="en-US" w:eastAsia="zh-CN"/>
              </w:rPr>
            </w:pPr>
            <w:r>
              <w:rPr>
                <w:rFonts w:hint="eastAsia" w:ascii="宋体" w:hAnsi="宋体"/>
                <w:kern w:val="0"/>
                <w:sz w:val="24"/>
                <w:szCs w:val="24"/>
              </w:rPr>
              <w:t>电子</w:t>
            </w:r>
            <w:r>
              <w:rPr>
                <w:rFonts w:hint="eastAsia" w:ascii="宋体" w:hAnsi="宋体"/>
                <w:kern w:val="0"/>
                <w:sz w:val="24"/>
                <w:szCs w:val="24"/>
                <w:lang w:val="en-US" w:eastAsia="zh-CN"/>
              </w:rPr>
              <w:t>与信息</w:t>
            </w:r>
            <w:r>
              <w:rPr>
                <w:rFonts w:hint="eastAsia" w:ascii="宋体" w:hAnsi="宋体"/>
                <w:kern w:val="0"/>
                <w:sz w:val="24"/>
                <w:szCs w:val="24"/>
              </w:rPr>
              <w:t>工程学院</w:t>
            </w:r>
            <w:r>
              <w:rPr>
                <w:rFonts w:hint="eastAsia" w:ascii="宋体" w:hAnsi="宋体"/>
                <w:kern w:val="0"/>
                <w:sz w:val="24"/>
                <w:szCs w:val="24"/>
                <w:lang w:val="en-US" w:eastAsia="zh-CN"/>
              </w:rPr>
              <w:t>/集成电路学院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11</w:t>
            </w:r>
            <w:r>
              <w:rPr>
                <w:rFonts w:hint="eastAsia" w:ascii="宋体" w:hAnsi="宋体"/>
                <w:kern w:val="0"/>
                <w:sz w:val="24"/>
                <w:szCs w:val="24"/>
              </w:rPr>
              <w:t>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电子信息工程</w:t>
            </w:r>
          </w:p>
        </w:tc>
        <w:tc>
          <w:tcPr>
            <w:tcW w:w="1256" w:type="dxa"/>
            <w:vAlign w:val="center"/>
          </w:tcPr>
          <w:p>
            <w:pPr>
              <w:spacing w:line="400" w:lineRule="exact"/>
              <w:jc w:val="center"/>
              <w:rPr>
                <w:rFonts w:ascii="宋体" w:hAnsi="宋体"/>
                <w:kern w:val="0"/>
                <w:sz w:val="24"/>
                <w:szCs w:val="24"/>
              </w:rPr>
            </w:pPr>
          </w:p>
        </w:tc>
        <w:tc>
          <w:tcPr>
            <w:tcW w:w="5803"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电子科学与技术</w:t>
            </w:r>
          </w:p>
        </w:tc>
        <w:tc>
          <w:tcPr>
            <w:tcW w:w="1256" w:type="dxa"/>
            <w:vAlign w:val="center"/>
          </w:tcPr>
          <w:p>
            <w:pPr>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人工智能</w:t>
            </w:r>
          </w:p>
        </w:tc>
        <w:tc>
          <w:tcPr>
            <w:tcW w:w="1256" w:type="dxa"/>
            <w:vAlign w:val="center"/>
          </w:tcPr>
          <w:p>
            <w:pPr>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通信工程</w:t>
            </w:r>
          </w:p>
        </w:tc>
        <w:tc>
          <w:tcPr>
            <w:tcW w:w="1256" w:type="dxa"/>
            <w:vAlign w:val="center"/>
          </w:tcPr>
          <w:p>
            <w:pPr>
              <w:spacing w:line="400" w:lineRule="exact"/>
              <w:jc w:val="center"/>
              <w:rPr>
                <w:rFonts w:ascii="宋体" w:hAnsi="宋体"/>
                <w:kern w:val="0"/>
                <w:sz w:val="24"/>
                <w:szCs w:val="24"/>
              </w:rPr>
            </w:pPr>
          </w:p>
        </w:tc>
        <w:tc>
          <w:tcPr>
            <w:tcW w:w="5803" w:type="dxa"/>
            <w:vMerge w:val="continue"/>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职业技术师范学院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40</w:t>
            </w:r>
            <w:r>
              <w:rPr>
                <w:rFonts w:hint="eastAsia" w:ascii="宋体" w:hAnsi="宋体"/>
                <w:kern w:val="0"/>
                <w:sz w:val="24"/>
                <w:szCs w:val="24"/>
              </w:rPr>
              <w:t>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电子商务</w:t>
            </w:r>
            <w:r>
              <w:rPr>
                <w:rFonts w:hint="eastAsia" w:ascii="宋体" w:hAnsi="宋体"/>
                <w:kern w:val="0"/>
                <w:sz w:val="24"/>
                <w:szCs w:val="24"/>
              </w:rPr>
              <w:t>（职教师资）</w:t>
            </w:r>
          </w:p>
        </w:tc>
        <w:tc>
          <w:tcPr>
            <w:tcW w:w="1256" w:type="dxa"/>
            <w:vAlign w:val="center"/>
          </w:tcPr>
          <w:p>
            <w:pPr>
              <w:spacing w:line="400" w:lineRule="exact"/>
              <w:jc w:val="center"/>
              <w:rPr>
                <w:rFonts w:ascii="宋体" w:hAnsi="宋体"/>
                <w:kern w:val="0"/>
                <w:sz w:val="24"/>
                <w:szCs w:val="24"/>
              </w:rPr>
            </w:pPr>
          </w:p>
        </w:tc>
        <w:tc>
          <w:tcPr>
            <w:tcW w:w="5803" w:type="dxa"/>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旅游管理</w:t>
            </w:r>
            <w:r>
              <w:rPr>
                <w:rFonts w:hint="eastAsia" w:ascii="宋体" w:hAnsi="宋体"/>
                <w:kern w:val="0"/>
                <w:sz w:val="24"/>
                <w:szCs w:val="24"/>
              </w:rPr>
              <w:t>（职教师资）</w:t>
            </w:r>
          </w:p>
        </w:tc>
        <w:tc>
          <w:tcPr>
            <w:tcW w:w="1256" w:type="dxa"/>
            <w:vAlign w:val="center"/>
          </w:tcPr>
          <w:p>
            <w:pPr>
              <w:spacing w:line="400" w:lineRule="exact"/>
              <w:jc w:val="center"/>
              <w:rPr>
                <w:rFonts w:ascii="宋体" w:hAnsi="宋体"/>
                <w:kern w:val="0"/>
                <w:sz w:val="24"/>
                <w:szCs w:val="24"/>
              </w:rPr>
            </w:pPr>
          </w:p>
        </w:tc>
        <w:tc>
          <w:tcPr>
            <w:tcW w:w="5803" w:type="dxa"/>
            <w:vAlign w:val="center"/>
          </w:tcPr>
          <w:p>
            <w:pPr>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接收；要求男生身高不低于</w:t>
            </w:r>
            <w:r>
              <w:rPr>
                <w:rFonts w:hint="eastAsia" w:ascii="宋体" w:hAnsi="宋体"/>
                <w:kern w:val="0"/>
                <w:sz w:val="24"/>
                <w:szCs w:val="24"/>
              </w:rPr>
              <w:t>165厘米，女生身高不低于157厘米。</w:t>
            </w:r>
          </w:p>
        </w:tc>
        <w:tc>
          <w:tcPr>
            <w:tcW w:w="1550"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hint="default" w:ascii="宋体" w:hAnsi="宋体" w:eastAsia="宋体"/>
                <w:kern w:val="0"/>
                <w:sz w:val="24"/>
                <w:szCs w:val="24"/>
                <w:lang w:val="en-US" w:eastAsia="zh-CN"/>
              </w:rPr>
            </w:pPr>
            <w:r>
              <w:rPr>
                <w:rFonts w:hint="eastAsia" w:ascii="宋体" w:hAnsi="宋体"/>
                <w:kern w:val="0"/>
                <w:sz w:val="24"/>
                <w:szCs w:val="24"/>
                <w:lang w:val="en-US" w:eastAsia="zh-CN"/>
              </w:rPr>
              <w:t>智能制造工程</w:t>
            </w:r>
          </w:p>
        </w:tc>
        <w:tc>
          <w:tcPr>
            <w:tcW w:w="1256" w:type="dxa"/>
            <w:vAlign w:val="center"/>
          </w:tcPr>
          <w:p>
            <w:pPr>
              <w:spacing w:line="400" w:lineRule="exact"/>
              <w:jc w:val="center"/>
              <w:rPr>
                <w:rFonts w:ascii="宋体" w:hAnsi="宋体"/>
                <w:kern w:val="0"/>
                <w:sz w:val="24"/>
                <w:szCs w:val="24"/>
              </w:rPr>
            </w:pPr>
          </w:p>
        </w:tc>
        <w:tc>
          <w:tcPr>
            <w:tcW w:w="5803"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50" w:type="dxa"/>
            <w:vAlign w:val="center"/>
          </w:tcPr>
          <w:p>
            <w:pPr>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hint="default" w:ascii="宋体" w:hAnsi="宋体" w:eastAsia="宋体"/>
                <w:kern w:val="0"/>
                <w:sz w:val="24"/>
                <w:szCs w:val="24"/>
                <w:lang w:val="en-US" w:eastAsia="zh-CN"/>
              </w:rPr>
            </w:pPr>
            <w:r>
              <w:rPr>
                <w:rFonts w:hint="eastAsia" w:ascii="宋体" w:hAnsi="宋体"/>
                <w:kern w:val="0"/>
                <w:sz w:val="24"/>
                <w:szCs w:val="24"/>
                <w:lang w:val="en-US" w:eastAsia="zh-CN"/>
              </w:rPr>
              <w:t>新能源汽车工程</w:t>
            </w:r>
          </w:p>
        </w:tc>
        <w:tc>
          <w:tcPr>
            <w:tcW w:w="1256" w:type="dxa"/>
            <w:vAlign w:val="center"/>
          </w:tcPr>
          <w:p>
            <w:pPr>
              <w:spacing w:line="400" w:lineRule="exact"/>
              <w:jc w:val="center"/>
              <w:rPr>
                <w:rFonts w:ascii="宋体" w:hAnsi="宋体"/>
                <w:kern w:val="0"/>
                <w:sz w:val="24"/>
                <w:szCs w:val="24"/>
              </w:rPr>
            </w:pPr>
          </w:p>
        </w:tc>
        <w:tc>
          <w:tcPr>
            <w:tcW w:w="5803" w:type="dxa"/>
            <w:vMerge w:val="continue"/>
            <w:tcBorders/>
            <w:vAlign w:val="center"/>
          </w:tcPr>
          <w:p>
            <w:pPr>
              <w:spacing w:line="400" w:lineRule="exact"/>
              <w:jc w:val="left"/>
              <w:rPr>
                <w:rFonts w:ascii="宋体" w:hAnsi="宋体"/>
                <w:kern w:val="0"/>
                <w:sz w:val="24"/>
                <w:szCs w:val="24"/>
              </w:rPr>
            </w:pPr>
          </w:p>
        </w:tc>
        <w:tc>
          <w:tcPr>
            <w:tcW w:w="1550" w:type="dxa"/>
            <w:vAlign w:val="center"/>
          </w:tcPr>
          <w:p>
            <w:pPr>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68" w:type="dxa"/>
            <w:gridSpan w:val="3"/>
            <w:vAlign w:val="center"/>
          </w:tcPr>
          <w:p>
            <w:pPr>
              <w:widowControl/>
              <w:spacing w:line="400" w:lineRule="exact"/>
              <w:ind w:firstLine="940" w:firstLineChars="392"/>
              <w:jc w:val="center"/>
              <w:rPr>
                <w:rFonts w:ascii="宋体" w:hAnsi="宋体"/>
                <w:b/>
                <w:bCs/>
                <w:kern w:val="0"/>
                <w:sz w:val="24"/>
                <w:szCs w:val="24"/>
              </w:rPr>
            </w:pPr>
            <w:r>
              <w:rPr>
                <w:rFonts w:ascii="宋体" w:hAnsi="宋体"/>
                <w:b/>
                <w:bCs/>
                <w:kern w:val="0"/>
                <w:sz w:val="24"/>
                <w:szCs w:val="24"/>
              </w:rPr>
              <w:t>合</w:t>
            </w:r>
            <w:r>
              <w:rPr>
                <w:rFonts w:hint="eastAsia" w:ascii="宋体" w:hAnsi="宋体"/>
                <w:b/>
                <w:bCs/>
                <w:kern w:val="0"/>
                <w:sz w:val="24"/>
                <w:szCs w:val="24"/>
              </w:rPr>
              <w:t xml:space="preserve">    </w:t>
            </w:r>
            <w:r>
              <w:rPr>
                <w:rFonts w:ascii="宋体" w:hAnsi="宋体"/>
                <w:b/>
                <w:bCs/>
                <w:kern w:val="0"/>
                <w:sz w:val="24"/>
                <w:szCs w:val="24"/>
              </w:rPr>
              <w:t>计</w:t>
            </w:r>
          </w:p>
        </w:tc>
        <w:tc>
          <w:tcPr>
            <w:tcW w:w="5803" w:type="dxa"/>
          </w:tcPr>
          <w:p>
            <w:pPr>
              <w:spacing w:line="400" w:lineRule="exact"/>
              <w:jc w:val="left"/>
              <w:rPr>
                <w:rFonts w:ascii="宋体" w:hAnsi="宋体"/>
                <w:b/>
                <w:bCs/>
                <w:kern w:val="0"/>
                <w:sz w:val="24"/>
                <w:szCs w:val="24"/>
              </w:rPr>
            </w:pPr>
          </w:p>
        </w:tc>
        <w:tc>
          <w:tcPr>
            <w:tcW w:w="1550" w:type="dxa"/>
            <w:vAlign w:val="center"/>
          </w:tcPr>
          <w:p>
            <w:pPr>
              <w:spacing w:line="400" w:lineRule="exact"/>
              <w:jc w:val="center"/>
              <w:rPr>
                <w:rFonts w:hint="default" w:ascii="宋体" w:hAnsi="宋体" w:eastAsia="宋体"/>
                <w:b/>
                <w:bCs/>
                <w:color w:val="auto"/>
                <w:kern w:val="0"/>
                <w:sz w:val="24"/>
                <w:szCs w:val="24"/>
                <w:lang w:val="en-US" w:eastAsia="zh-CN"/>
              </w:rPr>
            </w:pPr>
            <w:r>
              <w:rPr>
                <w:rFonts w:hint="eastAsia" w:ascii="宋体" w:hAnsi="宋体"/>
                <w:b/>
                <w:bCs/>
                <w:color w:val="auto"/>
                <w:kern w:val="0"/>
                <w:sz w:val="24"/>
                <w:szCs w:val="24"/>
                <w:lang w:val="en-US" w:eastAsia="zh-CN"/>
              </w:rPr>
              <w:t>505</w:t>
            </w:r>
          </w:p>
        </w:tc>
      </w:tr>
    </w:tbl>
    <w:p>
      <w:pPr>
        <w:widowControl/>
        <w:ind w:left="960" w:hanging="960" w:hangingChars="400"/>
        <w:jc w:val="left"/>
        <w:rPr>
          <w:rFonts w:ascii="宋体" w:hAnsi="宋体"/>
          <w:sz w:val="24"/>
          <w:szCs w:val="24"/>
        </w:rPr>
      </w:pPr>
      <w:r>
        <w:rPr>
          <w:rFonts w:hint="eastAsia" w:ascii="宋体" w:hAnsi="宋体"/>
          <w:sz w:val="24"/>
          <w:szCs w:val="24"/>
        </w:rPr>
        <w:t xml:space="preserve">    </w:t>
      </w:r>
      <w:bookmarkStart w:id="1" w:name="_GoBack"/>
      <w:bookmarkEnd w:id="1"/>
    </w:p>
    <w:sectPr>
      <w:footerReference r:id="rId3" w:type="default"/>
      <w:footerReference r:id="rId4" w:type="even"/>
      <w:pgSz w:w="16838" w:h="11906" w:orient="landscape"/>
      <w:pgMar w:top="1134" w:right="907" w:bottom="1134" w:left="90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ZXiaoBiaoSong-B05S">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Fonts w:ascii="宋体" w:hAnsi="宋体"/>
        <w:sz w:val="28"/>
      </w:rPr>
      <w:t>—</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5</w:t>
    </w:r>
    <w:r>
      <w:rPr>
        <w:rStyle w:val="10"/>
        <w:sz w:val="28"/>
        <w:szCs w:val="28"/>
      </w:rPr>
      <w:fldChar w:fldCharType="end"/>
    </w:r>
    <w:r>
      <w:rPr>
        <w:rFonts w:ascii="宋体" w:hAnsi="宋体"/>
        <w:sz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Y2N2UxNWM2NzUwMjM5MWZlNTBhYzZhMmM3YTMxZGEifQ=="/>
  </w:docVars>
  <w:rsids>
    <w:rsidRoot w:val="00A04038"/>
    <w:rsid w:val="000004A0"/>
    <w:rsid w:val="000042D7"/>
    <w:rsid w:val="00006A6F"/>
    <w:rsid w:val="00007991"/>
    <w:rsid w:val="0001248C"/>
    <w:rsid w:val="00012CFE"/>
    <w:rsid w:val="00013155"/>
    <w:rsid w:val="00022D42"/>
    <w:rsid w:val="000241C8"/>
    <w:rsid w:val="000254E8"/>
    <w:rsid w:val="00033C55"/>
    <w:rsid w:val="000554A7"/>
    <w:rsid w:val="00056BE8"/>
    <w:rsid w:val="000603B5"/>
    <w:rsid w:val="000648AE"/>
    <w:rsid w:val="000757D8"/>
    <w:rsid w:val="00087060"/>
    <w:rsid w:val="00087FB5"/>
    <w:rsid w:val="000A4AAF"/>
    <w:rsid w:val="000A7B3F"/>
    <w:rsid w:val="000A7E84"/>
    <w:rsid w:val="000B39C4"/>
    <w:rsid w:val="000C103D"/>
    <w:rsid w:val="000C2ABC"/>
    <w:rsid w:val="000C3323"/>
    <w:rsid w:val="000C5147"/>
    <w:rsid w:val="000D0D79"/>
    <w:rsid w:val="000D57DA"/>
    <w:rsid w:val="000E4994"/>
    <w:rsid w:val="000F056F"/>
    <w:rsid w:val="000F1F25"/>
    <w:rsid w:val="000F4960"/>
    <w:rsid w:val="000F5874"/>
    <w:rsid w:val="001009BD"/>
    <w:rsid w:val="001136DC"/>
    <w:rsid w:val="00114B27"/>
    <w:rsid w:val="001159DC"/>
    <w:rsid w:val="00115D05"/>
    <w:rsid w:val="00115F98"/>
    <w:rsid w:val="00117F67"/>
    <w:rsid w:val="00123F46"/>
    <w:rsid w:val="00130A6F"/>
    <w:rsid w:val="001323E1"/>
    <w:rsid w:val="00133950"/>
    <w:rsid w:val="0013797F"/>
    <w:rsid w:val="001410D4"/>
    <w:rsid w:val="00143006"/>
    <w:rsid w:val="0014431B"/>
    <w:rsid w:val="00144FC7"/>
    <w:rsid w:val="00152284"/>
    <w:rsid w:val="00153BDB"/>
    <w:rsid w:val="00157B96"/>
    <w:rsid w:val="00165901"/>
    <w:rsid w:val="001711E2"/>
    <w:rsid w:val="0017221D"/>
    <w:rsid w:val="001735C6"/>
    <w:rsid w:val="00180FD2"/>
    <w:rsid w:val="00181C88"/>
    <w:rsid w:val="001841B1"/>
    <w:rsid w:val="001868BE"/>
    <w:rsid w:val="00190E4E"/>
    <w:rsid w:val="00194914"/>
    <w:rsid w:val="00194933"/>
    <w:rsid w:val="001968CE"/>
    <w:rsid w:val="001A310B"/>
    <w:rsid w:val="001A3CBA"/>
    <w:rsid w:val="001A7947"/>
    <w:rsid w:val="001B1864"/>
    <w:rsid w:val="001C26FC"/>
    <w:rsid w:val="001C3D10"/>
    <w:rsid w:val="001C64B2"/>
    <w:rsid w:val="001D268F"/>
    <w:rsid w:val="001D3B47"/>
    <w:rsid w:val="001D5504"/>
    <w:rsid w:val="001E064A"/>
    <w:rsid w:val="001E7BCA"/>
    <w:rsid w:val="001F4CA1"/>
    <w:rsid w:val="001F51DB"/>
    <w:rsid w:val="00201372"/>
    <w:rsid w:val="002042D3"/>
    <w:rsid w:val="00206D27"/>
    <w:rsid w:val="002076CD"/>
    <w:rsid w:val="00220551"/>
    <w:rsid w:val="002225F6"/>
    <w:rsid w:val="00222CB8"/>
    <w:rsid w:val="002361D5"/>
    <w:rsid w:val="0023797D"/>
    <w:rsid w:val="002450E5"/>
    <w:rsid w:val="00245FD5"/>
    <w:rsid w:val="00253391"/>
    <w:rsid w:val="0025385B"/>
    <w:rsid w:val="00263D25"/>
    <w:rsid w:val="0027054B"/>
    <w:rsid w:val="0027640C"/>
    <w:rsid w:val="00276810"/>
    <w:rsid w:val="00276A66"/>
    <w:rsid w:val="002904C7"/>
    <w:rsid w:val="0029190B"/>
    <w:rsid w:val="002A288B"/>
    <w:rsid w:val="002A4659"/>
    <w:rsid w:val="002A70DE"/>
    <w:rsid w:val="002B022F"/>
    <w:rsid w:val="002B3B09"/>
    <w:rsid w:val="002C05C1"/>
    <w:rsid w:val="002C0C53"/>
    <w:rsid w:val="002C287C"/>
    <w:rsid w:val="002C75A9"/>
    <w:rsid w:val="002D2196"/>
    <w:rsid w:val="002D381B"/>
    <w:rsid w:val="002E19DF"/>
    <w:rsid w:val="002E24E4"/>
    <w:rsid w:val="002E3C6A"/>
    <w:rsid w:val="002E7AE8"/>
    <w:rsid w:val="002E7EDD"/>
    <w:rsid w:val="003023AA"/>
    <w:rsid w:val="003066A1"/>
    <w:rsid w:val="0031054D"/>
    <w:rsid w:val="00310EC2"/>
    <w:rsid w:val="00312264"/>
    <w:rsid w:val="0031444B"/>
    <w:rsid w:val="0031474E"/>
    <w:rsid w:val="00315F1B"/>
    <w:rsid w:val="00326EBE"/>
    <w:rsid w:val="00327102"/>
    <w:rsid w:val="00331319"/>
    <w:rsid w:val="00333302"/>
    <w:rsid w:val="00333FA2"/>
    <w:rsid w:val="00336DEA"/>
    <w:rsid w:val="003379E9"/>
    <w:rsid w:val="00340490"/>
    <w:rsid w:val="003464D9"/>
    <w:rsid w:val="00347A9A"/>
    <w:rsid w:val="00347E1B"/>
    <w:rsid w:val="00355AF5"/>
    <w:rsid w:val="00364A86"/>
    <w:rsid w:val="003716E1"/>
    <w:rsid w:val="0038325E"/>
    <w:rsid w:val="003878F3"/>
    <w:rsid w:val="00392957"/>
    <w:rsid w:val="003A53D2"/>
    <w:rsid w:val="003B36BA"/>
    <w:rsid w:val="003C2E60"/>
    <w:rsid w:val="003C3087"/>
    <w:rsid w:val="003D0357"/>
    <w:rsid w:val="003D3353"/>
    <w:rsid w:val="003D5DE7"/>
    <w:rsid w:val="003D7513"/>
    <w:rsid w:val="003E108B"/>
    <w:rsid w:val="003E3DDB"/>
    <w:rsid w:val="003E3E9F"/>
    <w:rsid w:val="003F743C"/>
    <w:rsid w:val="00407C0C"/>
    <w:rsid w:val="004157E0"/>
    <w:rsid w:val="00423544"/>
    <w:rsid w:val="004236E3"/>
    <w:rsid w:val="00424423"/>
    <w:rsid w:val="00425B37"/>
    <w:rsid w:val="004314C8"/>
    <w:rsid w:val="00432568"/>
    <w:rsid w:val="00433797"/>
    <w:rsid w:val="004372A3"/>
    <w:rsid w:val="00437D8A"/>
    <w:rsid w:val="0044006E"/>
    <w:rsid w:val="00441FE6"/>
    <w:rsid w:val="00445BF3"/>
    <w:rsid w:val="00466B1C"/>
    <w:rsid w:val="00467FF0"/>
    <w:rsid w:val="00476087"/>
    <w:rsid w:val="00482C03"/>
    <w:rsid w:val="0048549C"/>
    <w:rsid w:val="004867C7"/>
    <w:rsid w:val="00494E8C"/>
    <w:rsid w:val="004A07F0"/>
    <w:rsid w:val="004A72FF"/>
    <w:rsid w:val="004B1A2A"/>
    <w:rsid w:val="004B24A6"/>
    <w:rsid w:val="004B2B55"/>
    <w:rsid w:val="004B2BF8"/>
    <w:rsid w:val="004C08D3"/>
    <w:rsid w:val="004D63E5"/>
    <w:rsid w:val="004D6BCE"/>
    <w:rsid w:val="004E0E7B"/>
    <w:rsid w:val="004E2393"/>
    <w:rsid w:val="004E6E7D"/>
    <w:rsid w:val="004F1AE8"/>
    <w:rsid w:val="004F33B4"/>
    <w:rsid w:val="005001F5"/>
    <w:rsid w:val="00512970"/>
    <w:rsid w:val="005204AD"/>
    <w:rsid w:val="005234FD"/>
    <w:rsid w:val="00525780"/>
    <w:rsid w:val="00536168"/>
    <w:rsid w:val="0053681F"/>
    <w:rsid w:val="0054214E"/>
    <w:rsid w:val="005451DA"/>
    <w:rsid w:val="00555A0E"/>
    <w:rsid w:val="00560855"/>
    <w:rsid w:val="005630CC"/>
    <w:rsid w:val="005635E7"/>
    <w:rsid w:val="00567EEF"/>
    <w:rsid w:val="00574278"/>
    <w:rsid w:val="00574372"/>
    <w:rsid w:val="00575589"/>
    <w:rsid w:val="0057710C"/>
    <w:rsid w:val="00584EFC"/>
    <w:rsid w:val="005852F2"/>
    <w:rsid w:val="00585541"/>
    <w:rsid w:val="005911F1"/>
    <w:rsid w:val="005916A2"/>
    <w:rsid w:val="00594DF2"/>
    <w:rsid w:val="00595B8A"/>
    <w:rsid w:val="00596E74"/>
    <w:rsid w:val="005A1CEC"/>
    <w:rsid w:val="005A47D3"/>
    <w:rsid w:val="005A6D04"/>
    <w:rsid w:val="005B05A9"/>
    <w:rsid w:val="005B586C"/>
    <w:rsid w:val="005B6804"/>
    <w:rsid w:val="005B75D5"/>
    <w:rsid w:val="005C04C7"/>
    <w:rsid w:val="005C2259"/>
    <w:rsid w:val="005C2A1B"/>
    <w:rsid w:val="005C3DBC"/>
    <w:rsid w:val="005C5A5E"/>
    <w:rsid w:val="005C6D8A"/>
    <w:rsid w:val="005D5915"/>
    <w:rsid w:val="005D74CB"/>
    <w:rsid w:val="005E74B0"/>
    <w:rsid w:val="005E786D"/>
    <w:rsid w:val="005F2D75"/>
    <w:rsid w:val="005F5903"/>
    <w:rsid w:val="00602027"/>
    <w:rsid w:val="0060362C"/>
    <w:rsid w:val="006043E7"/>
    <w:rsid w:val="00604814"/>
    <w:rsid w:val="00605A7D"/>
    <w:rsid w:val="006075D1"/>
    <w:rsid w:val="00613DE9"/>
    <w:rsid w:val="00613F4C"/>
    <w:rsid w:val="006179EF"/>
    <w:rsid w:val="0062478C"/>
    <w:rsid w:val="0062576C"/>
    <w:rsid w:val="00634128"/>
    <w:rsid w:val="006459AE"/>
    <w:rsid w:val="006466ED"/>
    <w:rsid w:val="00646E1E"/>
    <w:rsid w:val="00647044"/>
    <w:rsid w:val="00660D48"/>
    <w:rsid w:val="00662D6C"/>
    <w:rsid w:val="00665730"/>
    <w:rsid w:val="00683830"/>
    <w:rsid w:val="00683B60"/>
    <w:rsid w:val="006869F6"/>
    <w:rsid w:val="006935C6"/>
    <w:rsid w:val="0069573F"/>
    <w:rsid w:val="00696DFD"/>
    <w:rsid w:val="006A74F1"/>
    <w:rsid w:val="006B0A1A"/>
    <w:rsid w:val="006B270E"/>
    <w:rsid w:val="006C0791"/>
    <w:rsid w:val="006C09C2"/>
    <w:rsid w:val="006C2557"/>
    <w:rsid w:val="006C3142"/>
    <w:rsid w:val="006D289B"/>
    <w:rsid w:val="006D73EC"/>
    <w:rsid w:val="006F0F06"/>
    <w:rsid w:val="006F7C18"/>
    <w:rsid w:val="006F7EBE"/>
    <w:rsid w:val="00700A32"/>
    <w:rsid w:val="00701B3B"/>
    <w:rsid w:val="0070286D"/>
    <w:rsid w:val="007037A5"/>
    <w:rsid w:val="00720238"/>
    <w:rsid w:val="00721F0C"/>
    <w:rsid w:val="00722D63"/>
    <w:rsid w:val="00723A45"/>
    <w:rsid w:val="00737879"/>
    <w:rsid w:val="00742A40"/>
    <w:rsid w:val="00746559"/>
    <w:rsid w:val="0075186A"/>
    <w:rsid w:val="00752424"/>
    <w:rsid w:val="007540FC"/>
    <w:rsid w:val="0075791D"/>
    <w:rsid w:val="00760C4B"/>
    <w:rsid w:val="007824FC"/>
    <w:rsid w:val="0078718D"/>
    <w:rsid w:val="00787BD2"/>
    <w:rsid w:val="00792C51"/>
    <w:rsid w:val="007959AD"/>
    <w:rsid w:val="007A307C"/>
    <w:rsid w:val="007A5979"/>
    <w:rsid w:val="007A7C76"/>
    <w:rsid w:val="007B0043"/>
    <w:rsid w:val="007B21C3"/>
    <w:rsid w:val="007B3AC4"/>
    <w:rsid w:val="007B635F"/>
    <w:rsid w:val="007C039A"/>
    <w:rsid w:val="007C189C"/>
    <w:rsid w:val="007C55FA"/>
    <w:rsid w:val="007D0047"/>
    <w:rsid w:val="007D3A79"/>
    <w:rsid w:val="007D3DE8"/>
    <w:rsid w:val="007E3FF7"/>
    <w:rsid w:val="007E5EC3"/>
    <w:rsid w:val="007E6C91"/>
    <w:rsid w:val="007F0284"/>
    <w:rsid w:val="007F1C07"/>
    <w:rsid w:val="0080407D"/>
    <w:rsid w:val="008059CD"/>
    <w:rsid w:val="008079D3"/>
    <w:rsid w:val="00812DDF"/>
    <w:rsid w:val="00813995"/>
    <w:rsid w:val="008171D5"/>
    <w:rsid w:val="008177C9"/>
    <w:rsid w:val="00826DB0"/>
    <w:rsid w:val="00826E77"/>
    <w:rsid w:val="00830406"/>
    <w:rsid w:val="00835A25"/>
    <w:rsid w:val="0083714D"/>
    <w:rsid w:val="008375F7"/>
    <w:rsid w:val="00851EAF"/>
    <w:rsid w:val="00865217"/>
    <w:rsid w:val="00867031"/>
    <w:rsid w:val="008714AC"/>
    <w:rsid w:val="00871F5F"/>
    <w:rsid w:val="008725BD"/>
    <w:rsid w:val="008728BE"/>
    <w:rsid w:val="00874312"/>
    <w:rsid w:val="0087622F"/>
    <w:rsid w:val="00882ECB"/>
    <w:rsid w:val="0088761A"/>
    <w:rsid w:val="00895DC8"/>
    <w:rsid w:val="008A753B"/>
    <w:rsid w:val="008B1AE4"/>
    <w:rsid w:val="008B510F"/>
    <w:rsid w:val="008B55F3"/>
    <w:rsid w:val="008C1D21"/>
    <w:rsid w:val="008C1E74"/>
    <w:rsid w:val="008C50AC"/>
    <w:rsid w:val="008D14D5"/>
    <w:rsid w:val="008D3B62"/>
    <w:rsid w:val="008D47EC"/>
    <w:rsid w:val="008E2D34"/>
    <w:rsid w:val="008E6785"/>
    <w:rsid w:val="008F3F62"/>
    <w:rsid w:val="00902236"/>
    <w:rsid w:val="009029F1"/>
    <w:rsid w:val="00904847"/>
    <w:rsid w:val="00907530"/>
    <w:rsid w:val="00910153"/>
    <w:rsid w:val="0091038C"/>
    <w:rsid w:val="00910810"/>
    <w:rsid w:val="009113FE"/>
    <w:rsid w:val="00912A92"/>
    <w:rsid w:val="00915EBA"/>
    <w:rsid w:val="00921959"/>
    <w:rsid w:val="009235E5"/>
    <w:rsid w:val="00925CAF"/>
    <w:rsid w:val="009271AB"/>
    <w:rsid w:val="00927FF1"/>
    <w:rsid w:val="00945009"/>
    <w:rsid w:val="00962FC9"/>
    <w:rsid w:val="00964CC5"/>
    <w:rsid w:val="00971D50"/>
    <w:rsid w:val="00977914"/>
    <w:rsid w:val="00983A19"/>
    <w:rsid w:val="009861E3"/>
    <w:rsid w:val="009876C9"/>
    <w:rsid w:val="009920C4"/>
    <w:rsid w:val="009A577E"/>
    <w:rsid w:val="009B1483"/>
    <w:rsid w:val="009B1F57"/>
    <w:rsid w:val="009B78A2"/>
    <w:rsid w:val="009C21CF"/>
    <w:rsid w:val="009C7ECE"/>
    <w:rsid w:val="009D2515"/>
    <w:rsid w:val="009D66BA"/>
    <w:rsid w:val="009E21E0"/>
    <w:rsid w:val="009E28E2"/>
    <w:rsid w:val="009E2E4A"/>
    <w:rsid w:val="009E5E63"/>
    <w:rsid w:val="009E725E"/>
    <w:rsid w:val="009F04C5"/>
    <w:rsid w:val="009F0CAB"/>
    <w:rsid w:val="009F2095"/>
    <w:rsid w:val="009F3A3C"/>
    <w:rsid w:val="00A01AF3"/>
    <w:rsid w:val="00A04038"/>
    <w:rsid w:val="00A05394"/>
    <w:rsid w:val="00A14FD5"/>
    <w:rsid w:val="00A20E03"/>
    <w:rsid w:val="00A24665"/>
    <w:rsid w:val="00A2597C"/>
    <w:rsid w:val="00A3016E"/>
    <w:rsid w:val="00A3055B"/>
    <w:rsid w:val="00A30682"/>
    <w:rsid w:val="00A32478"/>
    <w:rsid w:val="00A36026"/>
    <w:rsid w:val="00A4684A"/>
    <w:rsid w:val="00A50B55"/>
    <w:rsid w:val="00A608B2"/>
    <w:rsid w:val="00A62E51"/>
    <w:rsid w:val="00A71BBF"/>
    <w:rsid w:val="00A7460E"/>
    <w:rsid w:val="00A74679"/>
    <w:rsid w:val="00A7468F"/>
    <w:rsid w:val="00A755D6"/>
    <w:rsid w:val="00A8241D"/>
    <w:rsid w:val="00A851E5"/>
    <w:rsid w:val="00A91282"/>
    <w:rsid w:val="00A9558A"/>
    <w:rsid w:val="00AA1249"/>
    <w:rsid w:val="00AA22EE"/>
    <w:rsid w:val="00AB700B"/>
    <w:rsid w:val="00AC0388"/>
    <w:rsid w:val="00AC3088"/>
    <w:rsid w:val="00AC3EFA"/>
    <w:rsid w:val="00AD08C5"/>
    <w:rsid w:val="00AD2BFB"/>
    <w:rsid w:val="00AD6B79"/>
    <w:rsid w:val="00AD74EB"/>
    <w:rsid w:val="00AE43FA"/>
    <w:rsid w:val="00AE46B3"/>
    <w:rsid w:val="00AF6F9D"/>
    <w:rsid w:val="00B015F2"/>
    <w:rsid w:val="00B13501"/>
    <w:rsid w:val="00B136F8"/>
    <w:rsid w:val="00B143F3"/>
    <w:rsid w:val="00B144AD"/>
    <w:rsid w:val="00B22119"/>
    <w:rsid w:val="00B2775F"/>
    <w:rsid w:val="00B43F6F"/>
    <w:rsid w:val="00B52A15"/>
    <w:rsid w:val="00B54EE3"/>
    <w:rsid w:val="00B55333"/>
    <w:rsid w:val="00B64016"/>
    <w:rsid w:val="00B6609D"/>
    <w:rsid w:val="00B70C32"/>
    <w:rsid w:val="00B71B24"/>
    <w:rsid w:val="00B73124"/>
    <w:rsid w:val="00B76489"/>
    <w:rsid w:val="00B772A7"/>
    <w:rsid w:val="00B831B0"/>
    <w:rsid w:val="00B8396F"/>
    <w:rsid w:val="00B8593E"/>
    <w:rsid w:val="00B9503D"/>
    <w:rsid w:val="00B96971"/>
    <w:rsid w:val="00B972F9"/>
    <w:rsid w:val="00BA04FD"/>
    <w:rsid w:val="00BA5A92"/>
    <w:rsid w:val="00BA5C88"/>
    <w:rsid w:val="00BC1603"/>
    <w:rsid w:val="00BC1F27"/>
    <w:rsid w:val="00BC6E1A"/>
    <w:rsid w:val="00BD05D9"/>
    <w:rsid w:val="00BD0BB7"/>
    <w:rsid w:val="00BD29FC"/>
    <w:rsid w:val="00BD6D1F"/>
    <w:rsid w:val="00BF2129"/>
    <w:rsid w:val="00BF4223"/>
    <w:rsid w:val="00BF5883"/>
    <w:rsid w:val="00C03561"/>
    <w:rsid w:val="00C315EA"/>
    <w:rsid w:val="00C31C6E"/>
    <w:rsid w:val="00C327D1"/>
    <w:rsid w:val="00C45D2F"/>
    <w:rsid w:val="00C53916"/>
    <w:rsid w:val="00C73E21"/>
    <w:rsid w:val="00C74FC7"/>
    <w:rsid w:val="00C86CB7"/>
    <w:rsid w:val="00C91301"/>
    <w:rsid w:val="00C95F67"/>
    <w:rsid w:val="00CA49D1"/>
    <w:rsid w:val="00CA4A69"/>
    <w:rsid w:val="00CA5039"/>
    <w:rsid w:val="00CA551C"/>
    <w:rsid w:val="00CB1031"/>
    <w:rsid w:val="00CB4527"/>
    <w:rsid w:val="00CC1C59"/>
    <w:rsid w:val="00CD10F5"/>
    <w:rsid w:val="00CD180C"/>
    <w:rsid w:val="00CD2C07"/>
    <w:rsid w:val="00CE025F"/>
    <w:rsid w:val="00CE255F"/>
    <w:rsid w:val="00CE2643"/>
    <w:rsid w:val="00CE5D8B"/>
    <w:rsid w:val="00CE7315"/>
    <w:rsid w:val="00CF0278"/>
    <w:rsid w:val="00CF040B"/>
    <w:rsid w:val="00CF2CAD"/>
    <w:rsid w:val="00D00454"/>
    <w:rsid w:val="00D00D7A"/>
    <w:rsid w:val="00D06053"/>
    <w:rsid w:val="00D07AFD"/>
    <w:rsid w:val="00D13259"/>
    <w:rsid w:val="00D134BA"/>
    <w:rsid w:val="00D16AA0"/>
    <w:rsid w:val="00D264FB"/>
    <w:rsid w:val="00D372C2"/>
    <w:rsid w:val="00D40E15"/>
    <w:rsid w:val="00D414BD"/>
    <w:rsid w:val="00D45AD1"/>
    <w:rsid w:val="00D73E4B"/>
    <w:rsid w:val="00D9005E"/>
    <w:rsid w:val="00D96392"/>
    <w:rsid w:val="00DA0636"/>
    <w:rsid w:val="00DA0978"/>
    <w:rsid w:val="00DA1D0C"/>
    <w:rsid w:val="00DB186A"/>
    <w:rsid w:val="00DB40CE"/>
    <w:rsid w:val="00DB76DD"/>
    <w:rsid w:val="00DB7C69"/>
    <w:rsid w:val="00DC411E"/>
    <w:rsid w:val="00DC6A81"/>
    <w:rsid w:val="00DC7852"/>
    <w:rsid w:val="00DD5169"/>
    <w:rsid w:val="00DD6FCD"/>
    <w:rsid w:val="00DD70DB"/>
    <w:rsid w:val="00DE2A8F"/>
    <w:rsid w:val="00DE7044"/>
    <w:rsid w:val="00DF0363"/>
    <w:rsid w:val="00DF0D3E"/>
    <w:rsid w:val="00DF10C8"/>
    <w:rsid w:val="00E06407"/>
    <w:rsid w:val="00E072A4"/>
    <w:rsid w:val="00E1071B"/>
    <w:rsid w:val="00E11BAD"/>
    <w:rsid w:val="00E1541C"/>
    <w:rsid w:val="00E15B32"/>
    <w:rsid w:val="00E16511"/>
    <w:rsid w:val="00E1794B"/>
    <w:rsid w:val="00E20D5D"/>
    <w:rsid w:val="00E27BE1"/>
    <w:rsid w:val="00E42D68"/>
    <w:rsid w:val="00E479D5"/>
    <w:rsid w:val="00E47DDA"/>
    <w:rsid w:val="00E505AF"/>
    <w:rsid w:val="00E519D9"/>
    <w:rsid w:val="00E55801"/>
    <w:rsid w:val="00E56372"/>
    <w:rsid w:val="00E6126A"/>
    <w:rsid w:val="00E73829"/>
    <w:rsid w:val="00E75309"/>
    <w:rsid w:val="00E7561C"/>
    <w:rsid w:val="00E75FDD"/>
    <w:rsid w:val="00E81B4C"/>
    <w:rsid w:val="00E92250"/>
    <w:rsid w:val="00EC4792"/>
    <w:rsid w:val="00ED22D4"/>
    <w:rsid w:val="00ED3B44"/>
    <w:rsid w:val="00ED6FDB"/>
    <w:rsid w:val="00ED7612"/>
    <w:rsid w:val="00EE284B"/>
    <w:rsid w:val="00EE2D8B"/>
    <w:rsid w:val="00EE4493"/>
    <w:rsid w:val="00EE75EF"/>
    <w:rsid w:val="00EF74C7"/>
    <w:rsid w:val="00F063C9"/>
    <w:rsid w:val="00F12746"/>
    <w:rsid w:val="00F13521"/>
    <w:rsid w:val="00F139CC"/>
    <w:rsid w:val="00F149B5"/>
    <w:rsid w:val="00F17D1F"/>
    <w:rsid w:val="00F17DA1"/>
    <w:rsid w:val="00F2357F"/>
    <w:rsid w:val="00F24230"/>
    <w:rsid w:val="00F261B7"/>
    <w:rsid w:val="00F264C3"/>
    <w:rsid w:val="00F271EF"/>
    <w:rsid w:val="00F3171A"/>
    <w:rsid w:val="00F401B7"/>
    <w:rsid w:val="00F42BCB"/>
    <w:rsid w:val="00F44441"/>
    <w:rsid w:val="00F461B4"/>
    <w:rsid w:val="00F473A4"/>
    <w:rsid w:val="00F54150"/>
    <w:rsid w:val="00F54FF5"/>
    <w:rsid w:val="00F561BC"/>
    <w:rsid w:val="00F666BE"/>
    <w:rsid w:val="00F73611"/>
    <w:rsid w:val="00F73679"/>
    <w:rsid w:val="00F75807"/>
    <w:rsid w:val="00F77E6B"/>
    <w:rsid w:val="00F81B84"/>
    <w:rsid w:val="00F86ADC"/>
    <w:rsid w:val="00F86C88"/>
    <w:rsid w:val="00F96177"/>
    <w:rsid w:val="00F96F3A"/>
    <w:rsid w:val="00FA1238"/>
    <w:rsid w:val="00FA12EE"/>
    <w:rsid w:val="00FA5596"/>
    <w:rsid w:val="00FA5599"/>
    <w:rsid w:val="00FA55BB"/>
    <w:rsid w:val="00FA7025"/>
    <w:rsid w:val="00FA73AE"/>
    <w:rsid w:val="00FB1703"/>
    <w:rsid w:val="00FB447B"/>
    <w:rsid w:val="00FC0C94"/>
    <w:rsid w:val="00FD1DF5"/>
    <w:rsid w:val="00FD253F"/>
    <w:rsid w:val="00FD29C1"/>
    <w:rsid w:val="00FF0C4F"/>
    <w:rsid w:val="00FF228E"/>
    <w:rsid w:val="00FF3952"/>
    <w:rsid w:val="00FF45F7"/>
    <w:rsid w:val="00FF722C"/>
    <w:rsid w:val="01321C11"/>
    <w:rsid w:val="045B5438"/>
    <w:rsid w:val="07BD6F9C"/>
    <w:rsid w:val="09011381"/>
    <w:rsid w:val="0FEE1264"/>
    <w:rsid w:val="13204841"/>
    <w:rsid w:val="17F91EF9"/>
    <w:rsid w:val="191C6B20"/>
    <w:rsid w:val="1C6B093E"/>
    <w:rsid w:val="1E8E32C6"/>
    <w:rsid w:val="22282F5D"/>
    <w:rsid w:val="2B8A06F1"/>
    <w:rsid w:val="2F62078F"/>
    <w:rsid w:val="2FFA2661"/>
    <w:rsid w:val="3AB416F0"/>
    <w:rsid w:val="3B181276"/>
    <w:rsid w:val="47AD1FFE"/>
    <w:rsid w:val="4BEF1C13"/>
    <w:rsid w:val="63B02EF0"/>
    <w:rsid w:val="67796EC4"/>
    <w:rsid w:val="6B9764B1"/>
    <w:rsid w:val="6E111839"/>
    <w:rsid w:val="6F5866DA"/>
    <w:rsid w:val="72497C7C"/>
    <w:rsid w:val="752D7020"/>
    <w:rsid w:val="758E3721"/>
    <w:rsid w:val="78535B31"/>
    <w:rsid w:val="7A82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rPr>
      <w:szCs w:val="24"/>
    </w:rPr>
  </w:style>
  <w:style w:type="paragraph" w:styleId="3">
    <w:name w:val="Body Text"/>
    <w:basedOn w:val="1"/>
    <w:link w:val="15"/>
    <w:autoRedefine/>
    <w:qFormat/>
    <w:uiPriority w:val="0"/>
    <w:pPr>
      <w:spacing w:line="640" w:lineRule="exact"/>
      <w:jc w:val="center"/>
    </w:pPr>
    <w:rPr>
      <w:rFonts w:ascii="宋体" w:hAnsi="宋体"/>
      <w:sz w:val="36"/>
      <w:szCs w:val="24"/>
    </w:rPr>
  </w:style>
  <w:style w:type="paragraph" w:styleId="4">
    <w:name w:val="Balloon Text"/>
    <w:basedOn w:val="1"/>
    <w:link w:val="17"/>
    <w:qFormat/>
    <w:uiPriority w:val="0"/>
    <w:rPr>
      <w:sz w:val="18"/>
      <w:szCs w:val="18"/>
    </w:rPr>
  </w:style>
  <w:style w:type="paragraph" w:styleId="5">
    <w:name w:val="footer"/>
    <w:basedOn w:val="1"/>
    <w:link w:val="18"/>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page number"/>
    <w:basedOn w:val="9"/>
    <w:autoRedefine/>
    <w:qFormat/>
    <w:uiPriority w:val="0"/>
  </w:style>
  <w:style w:type="character" w:styleId="11">
    <w:name w:val="annotation reference"/>
    <w:unhideWhenUsed/>
    <w:qFormat/>
    <w:uiPriority w:val="99"/>
    <w:rPr>
      <w:sz w:val="21"/>
      <w:szCs w:val="21"/>
    </w:rPr>
  </w:style>
  <w:style w:type="paragraph" w:customStyle="1" w:styleId="12">
    <w:name w:val="Default"/>
    <w:autoRedefine/>
    <w:qFormat/>
    <w:uiPriority w:val="0"/>
    <w:pPr>
      <w:widowControl w:val="0"/>
      <w:autoSpaceDE w:val="0"/>
      <w:autoSpaceDN w:val="0"/>
      <w:adjustRightInd w:val="0"/>
    </w:pPr>
    <w:rPr>
      <w:rFonts w:ascii="FZXiaoBiaoSong-B05S" w:hAnsi="Times New Roman" w:eastAsia="FZXiaoBiaoSong-B05S" w:cs="FZXiaoBiaoSong-B05S"/>
      <w:color w:val="000000"/>
      <w:sz w:val="24"/>
      <w:szCs w:val="24"/>
      <w:lang w:val="en-US" w:eastAsia="zh-CN" w:bidi="ar-SA"/>
    </w:rPr>
  </w:style>
  <w:style w:type="character" w:customStyle="1" w:styleId="13">
    <w:name w:val="页眉 Char"/>
    <w:link w:val="6"/>
    <w:qFormat/>
    <w:uiPriority w:val="0"/>
    <w:rPr>
      <w:kern w:val="2"/>
      <w:sz w:val="18"/>
      <w:szCs w:val="18"/>
    </w:rPr>
  </w:style>
  <w:style w:type="character" w:customStyle="1" w:styleId="14">
    <w:name w:val="apple-converted-space"/>
    <w:autoRedefine/>
    <w:qFormat/>
    <w:uiPriority w:val="0"/>
  </w:style>
  <w:style w:type="character" w:customStyle="1" w:styleId="15">
    <w:name w:val="正文文本 Char"/>
    <w:link w:val="3"/>
    <w:qFormat/>
    <w:uiPriority w:val="0"/>
    <w:rPr>
      <w:rFonts w:ascii="宋体" w:hAnsi="宋体"/>
      <w:kern w:val="2"/>
      <w:sz w:val="36"/>
      <w:szCs w:val="24"/>
    </w:rPr>
  </w:style>
  <w:style w:type="character" w:customStyle="1" w:styleId="16">
    <w:name w:val="批注文字 Char"/>
    <w:link w:val="2"/>
    <w:qFormat/>
    <w:uiPriority w:val="99"/>
    <w:rPr>
      <w:kern w:val="2"/>
      <w:sz w:val="21"/>
      <w:szCs w:val="24"/>
    </w:rPr>
  </w:style>
  <w:style w:type="character" w:customStyle="1" w:styleId="17">
    <w:name w:val="批注框文本 Char"/>
    <w:link w:val="4"/>
    <w:autoRedefine/>
    <w:qFormat/>
    <w:uiPriority w:val="0"/>
    <w:rPr>
      <w:kern w:val="2"/>
      <w:sz w:val="18"/>
      <w:szCs w:val="18"/>
    </w:rPr>
  </w:style>
  <w:style w:type="character" w:customStyle="1" w:styleId="18">
    <w:name w:val="页脚 Char"/>
    <w:link w:val="5"/>
    <w:autoRedefine/>
    <w:qFormat/>
    <w:uiPriority w:val="99"/>
    <w:rPr>
      <w:kern w:val="2"/>
      <w:sz w:val="18"/>
      <w:szCs w:val="18"/>
    </w:rPr>
  </w:style>
  <w:style w:type="paragraph" w:styleId="19">
    <w:name w:val="Intense Quote"/>
    <w:basedOn w:val="1"/>
    <w:next w:val="1"/>
    <w:link w:val="20"/>
    <w:autoRedefine/>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20">
    <w:name w:val="明显引用 Char"/>
    <w:basedOn w:val="9"/>
    <w:link w:val="19"/>
    <w:qFormat/>
    <w:uiPriority w:val="30"/>
    <w:rPr>
      <w:b/>
      <w:bCs/>
      <w:i/>
      <w:iCs/>
      <w:color w:val="4F81BD" w:themeColor="accent1"/>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2BD7B-1A1A-41F5-8BFA-99111BA5C46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1590</Words>
  <Characters>1650</Characters>
  <Lines>14</Lines>
  <Paragraphs>3</Paragraphs>
  <TotalTime>21</TotalTime>
  <ScaleCrop>false</ScaleCrop>
  <LinksUpToDate>false</LinksUpToDate>
  <CharactersWithSpaces>1664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2021-04-02T02:57:00Z</dcterms:created>
  <dc:creator>全丽华</dc:creator>
  <cp:lastModifiedBy>Administrator</cp:lastModifiedBy>
  <cp:lastPrinted>2023-04-26T01:58:00Z</cp:lastPrinted>
  <dcterms:modified xsi:type="dcterms:W3CDTF">2024-03-12T01:09:20Z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12E8AA71F63E4D52B8DB0C665672CB1D</vt:lpwstr>
  </property>
</Properties>
</file>