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宋体" w:cs="Times New Roman"/>
          <w:sz w:val="24"/>
          <w:szCs w:val="24"/>
        </w:rPr>
      </w:pPr>
    </w:p>
    <w:p>
      <w:pPr>
        <w:jc w:val="center"/>
        <w:rPr>
          <w:rFonts w:hint="default" w:ascii="Times New Roman" w:hAnsi="Times New Roman" w:eastAsia="宋体" w:cs="Times New Roman"/>
          <w:sz w:val="24"/>
          <w:szCs w:val="24"/>
        </w:rPr>
      </w:pPr>
    </w:p>
    <w:p>
      <w:pPr>
        <w:jc w:val="center"/>
        <w:rPr>
          <w:rFonts w:hint="default" w:ascii="Times New Roman" w:hAnsi="Times New Roman" w:eastAsia="宋体" w:cs="Times New Roman"/>
          <w:sz w:val="24"/>
          <w:szCs w:val="24"/>
        </w:rPr>
      </w:pPr>
    </w:p>
    <w:p>
      <w:pPr>
        <w:jc w:val="center"/>
        <w:rPr>
          <w:rFonts w:hint="default" w:ascii="Times New Roman" w:hAnsi="Times New Roman" w:eastAsia="宋体" w:cs="Times New Roman"/>
          <w:sz w:val="24"/>
          <w:szCs w:val="24"/>
        </w:rPr>
      </w:pPr>
    </w:p>
    <w:p>
      <w:pPr>
        <w:jc w:val="center"/>
        <w:rPr>
          <w:rFonts w:hint="default" w:ascii="Times New Roman" w:hAnsi="Times New Roman" w:eastAsia="宋体" w:cs="Times New Roman"/>
          <w:sz w:val="24"/>
          <w:szCs w:val="24"/>
        </w:rPr>
      </w:pPr>
    </w:p>
    <w:p>
      <w:pPr>
        <w:jc w:val="center"/>
        <w:rPr>
          <w:rFonts w:hint="default" w:ascii="Times New Roman" w:hAnsi="Times New Roman" w:eastAsia="宋体" w:cs="Times New Roman"/>
          <w:sz w:val="24"/>
          <w:szCs w:val="24"/>
        </w:rPr>
      </w:pPr>
    </w:p>
    <w:p>
      <w:pPr>
        <w:jc w:val="center"/>
        <w:rPr>
          <w:rFonts w:hint="default" w:ascii="Times New Roman" w:hAnsi="Times New Roman" w:eastAsia="宋体" w:cs="Times New Roman"/>
          <w:sz w:val="24"/>
          <w:szCs w:val="24"/>
        </w:rPr>
      </w:pPr>
    </w:p>
    <w:p>
      <w:pPr>
        <w:jc w:val="center"/>
        <w:rPr>
          <w:rFonts w:hint="default" w:ascii="Times New Roman" w:hAnsi="Times New Roman" w:eastAsia="宋体" w:cs="Times New Roman"/>
          <w:b w:val="0"/>
          <w:bCs w:val="0"/>
          <w:sz w:val="24"/>
          <w:szCs w:val="24"/>
        </w:rPr>
      </w:pPr>
      <w:r>
        <w:rPr>
          <w:rFonts w:hint="default" w:ascii="Times New Roman" w:hAnsi="Times New Roman" w:eastAsia="宋体" w:cs="Times New Roman"/>
          <w:b w:val="0"/>
          <w:bCs w:val="0"/>
          <w:sz w:val="24"/>
          <w:szCs w:val="24"/>
        </w:rPr>
        <w:t>教务〔2024〕</w:t>
      </w:r>
      <w:r>
        <w:rPr>
          <w:rFonts w:hint="default" w:ascii="Times New Roman" w:hAnsi="Times New Roman" w:eastAsia="宋体" w:cs="Times New Roman"/>
          <w:b w:val="0"/>
          <w:bCs w:val="0"/>
          <w:sz w:val="24"/>
          <w:szCs w:val="24"/>
          <w:lang w:val="en-US" w:eastAsia="zh-CN"/>
        </w:rPr>
        <w:t>56</w:t>
      </w:r>
      <w:r>
        <w:rPr>
          <w:rFonts w:hint="default" w:ascii="Times New Roman" w:hAnsi="Times New Roman" w:eastAsia="宋体" w:cs="Times New Roman"/>
          <w:b w:val="0"/>
          <w:bCs w:val="0"/>
          <w:sz w:val="24"/>
          <w:szCs w:val="24"/>
        </w:rPr>
        <w:t xml:space="preserve">号 </w:t>
      </w:r>
    </w:p>
    <w:p>
      <w:pPr>
        <w:jc w:val="center"/>
        <w:rPr>
          <w:rFonts w:hint="default" w:ascii="Times New Roman" w:hAnsi="Times New Roman" w:eastAsia="宋体" w:cs="Times New Roman"/>
          <w:sz w:val="24"/>
          <w:szCs w:val="24"/>
        </w:rPr>
      </w:pPr>
    </w:p>
    <w:p>
      <w:pPr>
        <w:jc w:val="center"/>
        <w:rPr>
          <w:rFonts w:hint="default" w:ascii="Times New Roman" w:hAnsi="Times New Roman" w:eastAsia="宋体" w:cs="Times New Roman"/>
          <w:sz w:val="24"/>
          <w:szCs w:val="24"/>
        </w:rPr>
      </w:pPr>
    </w:p>
    <w:p>
      <w:pPr>
        <w:pStyle w:val="2"/>
        <w:widowControl/>
        <w:shd w:val="clear" w:color="auto" w:fill="FFFFFF"/>
        <w:spacing w:beforeAutospacing="0" w:afterAutospacing="0" w:line="23" w:lineRule="atLeast"/>
        <w:jc w:val="center"/>
        <w:rPr>
          <w:rFonts w:hint="default" w:ascii="Times New Roman" w:hAnsi="Times New Roman" w:eastAsia="微软雅黑" w:cs="Times New Roman"/>
          <w:color w:val="525353"/>
          <w:sz w:val="42"/>
          <w:szCs w:val="42"/>
        </w:rPr>
      </w:pPr>
      <w:r>
        <w:rPr>
          <w:rFonts w:hint="default" w:ascii="Times New Roman" w:hAnsi="Times New Roman" w:cs="Times New Roman"/>
          <w:kern w:val="0"/>
          <w:sz w:val="30"/>
          <w:szCs w:val="30"/>
          <w:shd w:val="clear" w:color="auto" w:fill="FFFFFF"/>
        </w:rPr>
        <w:t>关于征集第15届“红铜鼓”中国—东盟 艺术教育成果展演活动作品的通知</w:t>
      </w:r>
    </w:p>
    <w:p>
      <w:pPr>
        <w:pStyle w:val="6"/>
        <w:shd w:val="clear" w:color="auto" w:fill="FFFFFF"/>
        <w:spacing w:before="0" w:beforeAutospacing="0" w:after="0" w:afterAutospacing="0" w:line="460" w:lineRule="exact"/>
        <w:jc w:val="center"/>
        <w:textAlignment w:val="baseline"/>
        <w:rPr>
          <w:rFonts w:hint="default" w:ascii="Times New Roman" w:hAnsi="Times New Roman" w:cs="Times New Roman"/>
          <w:b/>
          <w:bCs/>
          <w:sz w:val="30"/>
          <w:szCs w:val="30"/>
          <w:shd w:val="clear" w:color="auto" w:fill="FFFFFF"/>
        </w:rPr>
      </w:pPr>
    </w:p>
    <w:p>
      <w:pPr>
        <w:pStyle w:val="5"/>
        <w:spacing w:after="0" w:line="360" w:lineRule="auto"/>
        <w:rPr>
          <w:rFonts w:hint="default" w:ascii="Times New Roman" w:hAnsi="Times New Roman" w:eastAsia="宋体" w:cs="Times New Roman"/>
          <w:sz w:val="24"/>
          <w:szCs w:val="24"/>
        </w:rPr>
      </w:pPr>
    </w:p>
    <w:p>
      <w:pPr>
        <w:pStyle w:val="5"/>
        <w:spacing w:after="0" w:line="360" w:lineRule="auto"/>
        <w:ind w:left="0"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各学院（部）：</w:t>
      </w:r>
    </w:p>
    <w:p>
      <w:pPr>
        <w:pStyle w:val="5"/>
        <w:spacing w:after="0" w:line="360" w:lineRule="auto"/>
        <w:ind w:left="0" w:lef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为全面贯彻落实党的二十大精神和党的教育方针，深入学习贯彻习近平文化思想，贯彻落实习近平总书记对广西重大方略要求，进一步扩大与东盟国家的人文交流与合作，构建更为紧密的中国—东盟命运共同体，由广西壮族自治区文化和旅游厅、教育厅联合主办的第15届“红铜鼓”中国—东盟艺术教育成果展演活动拟于2024年10月在桂林市举办，为展现我校艺术教育成果，现面向全校征集作品。有关事项通知如下:</w:t>
      </w:r>
    </w:p>
    <w:p>
      <w:pPr>
        <w:pStyle w:val="5"/>
        <w:spacing w:after="0" w:line="360" w:lineRule="auto"/>
        <w:ind w:left="0" w:leftChars="0"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一、组织机构</w:t>
      </w:r>
    </w:p>
    <w:p>
      <w:pPr>
        <w:pStyle w:val="5"/>
        <w:spacing w:after="0" w:line="360" w:lineRule="auto"/>
        <w:ind w:left="0" w:lef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主办单位：广西师范大学教务处</w:t>
      </w:r>
    </w:p>
    <w:p>
      <w:pPr>
        <w:pStyle w:val="5"/>
        <w:spacing w:after="0" w:line="360" w:lineRule="auto"/>
        <w:ind w:left="0" w:leftChars="0"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二、活动简介</w:t>
      </w:r>
    </w:p>
    <w:p>
      <w:pPr>
        <w:pStyle w:val="5"/>
        <w:spacing w:after="0" w:line="360" w:lineRule="auto"/>
        <w:ind w:left="0" w:leftChars="0"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第15届“红铜鼓”中国—东盟艺术教育成果展演是广西壮族自治区艺术教育领域两年一度的盛会。竞赛目的在于展示和推广民族民间文化艺术的新亮点，挖掘和培养艺术人才，为“一带一路”建设奉献更多的文化和智慧，第15届“红铜鼓”中国—东盟艺术教育成果展演将在6月份开始进行作品征集活动，现面向全校开展遴选，旨在发现和培养一批有作为、有潜力的优秀青年创新人才，搭建艺术教育人才创新生态平台。</w:t>
      </w:r>
    </w:p>
    <w:p>
      <w:pPr>
        <w:pStyle w:val="5"/>
        <w:numPr>
          <w:ilvl w:val="0"/>
          <w:numId w:val="1"/>
        </w:numPr>
        <w:spacing w:after="0" w:line="360" w:lineRule="auto"/>
        <w:ind w:left="0" w:leftChars="0"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活动内容</w:t>
      </w:r>
    </w:p>
    <w:p>
      <w:pPr>
        <w:pStyle w:val="5"/>
        <w:numPr>
          <w:ilvl w:val="0"/>
          <w:numId w:val="2"/>
        </w:numPr>
        <w:spacing w:after="0"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活动主题</w:t>
      </w:r>
    </w:p>
    <w:p>
      <w:pPr>
        <w:pStyle w:val="6"/>
        <w:shd w:val="clear" w:color="auto" w:fill="FFFFFF"/>
        <w:spacing w:before="0" w:beforeAutospacing="0" w:after="0" w:afterAutospacing="0" w:line="360" w:lineRule="auto"/>
        <w:ind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心艺相通 命运与共</w:t>
      </w:r>
    </w:p>
    <w:p>
      <w:pPr>
        <w:pStyle w:val="6"/>
        <w:shd w:val="clear" w:color="auto" w:fill="FFFFFF"/>
        <w:spacing w:before="0" w:beforeAutospacing="0" w:after="0" w:afterAutospacing="0" w:line="360" w:lineRule="auto"/>
        <w:ind w:firstLine="480" w:firstLineChars="20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kern w:val="2"/>
          <w:sz w:val="24"/>
          <w:szCs w:val="24"/>
        </w:rPr>
        <w:t>艺术展演的项目和内容将紧紧围绕该主题，展现当代师生与祖国同行、与人民同行、与时代同行、与梦想同行的价值追求；展现与东盟国家在艺术教育领域更全方位、更宽领域、更多层次、更加主动的教育合作格局，推动与东盟国家艺术教育、艺术研创、艺术交流协同发展，充分发挥广西独特区位优势，积极服务建设中国—东盟命运共同体。</w:t>
      </w:r>
    </w:p>
    <w:p>
      <w:pPr>
        <w:pStyle w:val="5"/>
        <w:numPr>
          <w:ilvl w:val="0"/>
          <w:numId w:val="2"/>
        </w:numPr>
        <w:spacing w:after="0"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活动对象及项目</w:t>
      </w:r>
    </w:p>
    <w:p>
      <w:pPr>
        <w:pStyle w:val="5"/>
        <w:spacing w:after="0" w:line="360" w:lineRule="auto"/>
        <w:ind w:left="0" w:leftChars="0"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活动对象：</w:t>
      </w:r>
      <w:r>
        <w:rPr>
          <w:rFonts w:hint="eastAsia" w:asciiTheme="minorEastAsia" w:hAnsiTheme="minorEastAsia" w:eastAsiaTheme="minorEastAsia" w:cstheme="minorEastAsia"/>
          <w:sz w:val="24"/>
          <w:szCs w:val="24"/>
        </w:rPr>
        <w:t>艺术专业学生</w:t>
      </w:r>
    </w:p>
    <w:p>
      <w:pPr>
        <w:pStyle w:val="5"/>
        <w:spacing w:after="0" w:line="360" w:lineRule="auto"/>
        <w:ind w:left="0" w:leftChars="0"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活动项目：</w:t>
      </w:r>
      <w:r>
        <w:rPr>
          <w:rFonts w:hint="eastAsia" w:asciiTheme="minorEastAsia" w:hAnsiTheme="minorEastAsia" w:eastAsiaTheme="minorEastAsia" w:cstheme="minorEastAsia"/>
          <w:sz w:val="24"/>
          <w:szCs w:val="24"/>
        </w:rPr>
        <w:t>舞台艺术类教育成果展演、学生优秀美术作品展、艺术教育优秀论文评选、艺术教育优质课堂展示活动</w:t>
      </w:r>
    </w:p>
    <w:p>
      <w:pPr>
        <w:pStyle w:val="5"/>
        <w:numPr>
          <w:ilvl w:val="0"/>
          <w:numId w:val="1"/>
        </w:numPr>
        <w:spacing w:after="0" w:line="360" w:lineRule="auto"/>
        <w:ind w:left="0" w:leftChars="0"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作品征集时间安排及要求</w:t>
      </w:r>
    </w:p>
    <w:p>
      <w:pPr>
        <w:pStyle w:val="6"/>
        <w:shd w:val="clear" w:color="auto" w:fill="FFFFFF"/>
        <w:spacing w:before="0" w:beforeAutospacing="0" w:after="0" w:afterAutospacing="0" w:line="360" w:lineRule="auto"/>
        <w:ind w:firstLine="482" w:firstLineChars="200"/>
        <w:jc w:val="both"/>
        <w:rPr>
          <w:rFonts w:hint="eastAsia" w:asciiTheme="minorEastAsia" w:hAnsiTheme="minorEastAsia" w:eastAsiaTheme="minorEastAsia" w:cstheme="minorEastAsia"/>
          <w:b/>
          <w:bCs/>
          <w:kern w:val="2"/>
          <w:sz w:val="24"/>
          <w:szCs w:val="24"/>
        </w:rPr>
      </w:pPr>
      <w:r>
        <w:rPr>
          <w:rFonts w:hint="eastAsia" w:asciiTheme="minorEastAsia" w:hAnsiTheme="minorEastAsia" w:eastAsiaTheme="minorEastAsia" w:cstheme="minorEastAsia"/>
          <w:b/>
          <w:bCs/>
          <w:kern w:val="2"/>
          <w:sz w:val="24"/>
          <w:szCs w:val="24"/>
        </w:rPr>
        <w:t>（一）征集时间：</w:t>
      </w:r>
    </w:p>
    <w:p>
      <w:pPr>
        <w:pStyle w:val="6"/>
        <w:shd w:val="clear" w:color="auto" w:fill="FFFFFF"/>
        <w:spacing w:before="0" w:beforeAutospacing="0" w:after="0" w:afterAutospacing="0" w:line="360" w:lineRule="auto"/>
        <w:ind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1.舞台艺术类教育成果 2024年6月28日前</w:t>
      </w:r>
    </w:p>
    <w:p>
      <w:pPr>
        <w:pStyle w:val="6"/>
        <w:shd w:val="clear" w:color="auto" w:fill="FFFFFF"/>
        <w:spacing w:before="0" w:beforeAutospacing="0" w:after="0" w:afterAutospacing="0" w:line="360" w:lineRule="auto"/>
        <w:ind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2.学生优秀美术作品   2024年6月28日前</w:t>
      </w:r>
    </w:p>
    <w:p>
      <w:pPr>
        <w:pStyle w:val="6"/>
        <w:shd w:val="clear" w:color="auto" w:fill="FFFFFF"/>
        <w:spacing w:before="0" w:beforeAutospacing="0" w:after="0" w:afterAutospacing="0" w:line="360" w:lineRule="auto"/>
        <w:ind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3.艺术教育优秀论文   2024年6月20日前</w:t>
      </w:r>
    </w:p>
    <w:p>
      <w:pPr>
        <w:pStyle w:val="6"/>
        <w:shd w:val="clear" w:color="auto" w:fill="FFFFFF"/>
        <w:spacing w:before="0" w:beforeAutospacing="0" w:after="0" w:afterAutospacing="0" w:line="360" w:lineRule="auto"/>
        <w:ind w:firstLine="480" w:firstLineChars="200"/>
        <w:jc w:val="both"/>
        <w:rPr>
          <w:rFonts w:hint="eastAsia" w:asciiTheme="minorEastAsia" w:hAnsiTheme="minorEastAsia" w:eastAsiaTheme="minorEastAsia" w:cstheme="minorEastAsia"/>
          <w:kern w:val="2"/>
          <w:sz w:val="24"/>
          <w:szCs w:val="24"/>
        </w:rPr>
      </w:pPr>
      <w:r>
        <w:rPr>
          <w:rFonts w:hint="eastAsia" w:asciiTheme="minorEastAsia" w:hAnsiTheme="minorEastAsia" w:eastAsiaTheme="minorEastAsia" w:cstheme="minorEastAsia"/>
          <w:kern w:val="2"/>
          <w:sz w:val="24"/>
          <w:szCs w:val="24"/>
        </w:rPr>
        <w:t>4.艺术教育优质课堂   2024年6月30日前</w:t>
      </w:r>
    </w:p>
    <w:p>
      <w:pPr>
        <w:pStyle w:val="6"/>
        <w:shd w:val="clear" w:color="auto" w:fill="FFFFFF"/>
        <w:spacing w:before="0" w:beforeAutospacing="0" w:after="0" w:afterAutospacing="0" w:line="360" w:lineRule="auto"/>
        <w:ind w:firstLine="482" w:firstLineChars="200"/>
        <w:jc w:val="both"/>
        <w:rPr>
          <w:rFonts w:hint="eastAsia" w:asciiTheme="minorEastAsia" w:hAnsiTheme="minorEastAsia" w:eastAsiaTheme="minorEastAsia" w:cstheme="minorEastAsia"/>
          <w:b/>
          <w:bCs/>
          <w:kern w:val="2"/>
          <w:sz w:val="24"/>
          <w:szCs w:val="24"/>
        </w:rPr>
      </w:pPr>
      <w:r>
        <w:rPr>
          <w:rFonts w:hint="eastAsia" w:asciiTheme="minorEastAsia" w:hAnsiTheme="minorEastAsia" w:eastAsiaTheme="minorEastAsia" w:cstheme="minorEastAsia"/>
          <w:b/>
          <w:bCs/>
          <w:kern w:val="2"/>
          <w:sz w:val="24"/>
          <w:szCs w:val="24"/>
        </w:rPr>
        <w:t>（二）作品要求：</w:t>
      </w:r>
    </w:p>
    <w:p>
      <w:pPr>
        <w:pStyle w:val="6"/>
        <w:shd w:val="clear" w:color="auto" w:fill="FFFFFF"/>
        <w:spacing w:before="0" w:beforeAutospacing="0" w:after="0" w:afterAutospacing="0" w:line="360" w:lineRule="auto"/>
        <w:ind w:firstLine="480" w:firstLineChars="200"/>
        <w:jc w:val="both"/>
        <w:rPr>
          <w:rFonts w:hint="eastAsia" w:asciiTheme="minorEastAsia" w:hAnsiTheme="minorEastAsia" w:eastAsiaTheme="minorEastAsia" w:cstheme="minorEastAsia"/>
          <w:color w:val="333333"/>
          <w:sz w:val="24"/>
          <w:szCs w:val="24"/>
          <w:shd w:val="clear" w:color="auto" w:fill="FFFFFF"/>
        </w:rPr>
      </w:pPr>
      <w:r>
        <w:rPr>
          <w:rFonts w:hint="eastAsia" w:asciiTheme="minorEastAsia" w:hAnsiTheme="minorEastAsia" w:eastAsiaTheme="minorEastAsia" w:cstheme="minorEastAsia"/>
          <w:color w:val="333333"/>
          <w:sz w:val="24"/>
          <w:szCs w:val="24"/>
          <w:shd w:val="clear" w:color="auto" w:fill="FFFFFF"/>
        </w:rPr>
        <w:t>各类别作品大小、提交文件类型及其它方面的要求，敬请关注</w:t>
      </w:r>
    </w:p>
    <w:p>
      <w:pPr>
        <w:pStyle w:val="6"/>
        <w:shd w:val="clear" w:color="auto" w:fill="FFFFFF"/>
        <w:spacing w:before="0" w:beforeAutospacing="0" w:after="0" w:afterAutospacing="0" w:line="360" w:lineRule="auto"/>
        <w:ind w:firstLine="480" w:firstLineChars="200"/>
        <w:jc w:val="both"/>
        <w:rPr>
          <w:rFonts w:hint="eastAsia" w:asciiTheme="minorEastAsia" w:hAnsiTheme="minorEastAsia" w:eastAsiaTheme="minorEastAsia" w:cstheme="minorEastAsia"/>
          <w:color w:val="333333"/>
          <w:sz w:val="24"/>
          <w:szCs w:val="24"/>
          <w:shd w:val="clear" w:color="auto" w:fill="FFFFFF"/>
        </w:rPr>
      </w:pPr>
      <w:r>
        <w:rPr>
          <w:rFonts w:hint="eastAsia" w:asciiTheme="minorEastAsia" w:hAnsiTheme="minorEastAsia" w:eastAsiaTheme="minorEastAsia" w:cstheme="minorEastAsia"/>
          <w:color w:val="333333"/>
          <w:sz w:val="24"/>
          <w:szCs w:val="24"/>
          <w:shd w:val="clear" w:color="auto" w:fill="FFFFFF"/>
        </w:rPr>
        <w:t>广西壮族自治区文化和旅游厅网站：</w:t>
      </w:r>
    </w:p>
    <w:p>
      <w:pPr>
        <w:pStyle w:val="6"/>
        <w:shd w:val="clear" w:color="auto" w:fill="FFFFFF"/>
        <w:spacing w:before="0" w:beforeAutospacing="0" w:after="0" w:afterAutospacing="0" w:line="360" w:lineRule="auto"/>
        <w:ind w:firstLine="480" w:firstLineChars="200"/>
        <w:jc w:val="both"/>
        <w:rPr>
          <w:rFonts w:hint="eastAsia" w:asciiTheme="minorEastAsia" w:hAnsiTheme="minorEastAsia" w:eastAsiaTheme="minorEastAsia" w:cstheme="minorEastAsia"/>
          <w:color w:val="333333"/>
          <w:sz w:val="24"/>
          <w:szCs w:val="24"/>
          <w:shd w:val="clear" w:color="auto" w:fill="FFFFFF"/>
        </w:rPr>
      </w:pPr>
      <w:r>
        <w:rPr>
          <w:rFonts w:hint="eastAsia" w:asciiTheme="minorEastAsia" w:hAnsiTheme="minorEastAsia" w:eastAsiaTheme="minorEastAsia" w:cstheme="minorEastAsia"/>
          <w:color w:val="333333"/>
          <w:sz w:val="24"/>
          <w:szCs w:val="24"/>
          <w:shd w:val="clear" w:color="auto" w:fill="FFFFFF"/>
        </w:rPr>
        <w:t>http://wlt.gxzf.gov.cn/zfxxgk/fdzdgknr/tzgg/t18479688.shtml</w:t>
      </w:r>
    </w:p>
    <w:p>
      <w:pPr>
        <w:pStyle w:val="5"/>
        <w:numPr>
          <w:ilvl w:val="0"/>
          <w:numId w:val="1"/>
        </w:numPr>
        <w:spacing w:after="0" w:line="360" w:lineRule="auto"/>
        <w:ind w:left="0" w:leftChars="0" w:firstLine="482" w:firstLineChars="200"/>
        <w:rPr>
          <w:rFonts w:hint="eastAsia" w:asciiTheme="minorEastAsia" w:hAnsiTheme="minorEastAsia" w:eastAsiaTheme="minorEastAsia" w:cstheme="minorEastAsia"/>
          <w:b/>
          <w:bCs/>
          <w:sz w:val="24"/>
          <w:szCs w:val="24"/>
        </w:rPr>
      </w:pPr>
      <w:r>
        <w:rPr>
          <w:rStyle w:val="9"/>
          <w:rFonts w:hint="eastAsia" w:asciiTheme="minorEastAsia" w:hAnsiTheme="minorEastAsia" w:eastAsiaTheme="minorEastAsia" w:cstheme="minorEastAsia"/>
          <w:color w:val="333333"/>
          <w:sz w:val="24"/>
          <w:szCs w:val="24"/>
          <w:shd w:val="clear" w:color="auto" w:fill="FFFFFF"/>
        </w:rPr>
        <w:t>作品提交方式</w:t>
      </w:r>
    </w:p>
    <w:p>
      <w:pPr>
        <w:widowControl/>
        <w:shd w:val="clear" w:color="auto" w:fill="FFFFFF"/>
        <w:spacing w:line="360" w:lineRule="auto"/>
        <w:ind w:firstLine="482"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（一）</w:t>
      </w:r>
      <w:r>
        <w:rPr>
          <w:rFonts w:hint="eastAsia" w:asciiTheme="minorEastAsia" w:hAnsiTheme="minorEastAsia" w:eastAsiaTheme="minorEastAsia" w:cstheme="minorEastAsia"/>
          <w:sz w:val="24"/>
          <w:szCs w:val="24"/>
        </w:rPr>
        <w:t>以学院为单位统一提交至教务处科创办（育才校区校办楼107、雁山校区行政北楼561），不接收个人单独报名；</w:t>
      </w:r>
    </w:p>
    <w:p>
      <w:pPr>
        <w:widowControl/>
        <w:shd w:val="clear" w:color="auto" w:fill="FFFFFF"/>
        <w:spacing w:line="360" w:lineRule="auto"/>
        <w:ind w:firstLine="482"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（二）</w:t>
      </w:r>
      <w:r>
        <w:rPr>
          <w:rFonts w:hint="eastAsia" w:asciiTheme="minorEastAsia" w:hAnsiTheme="minorEastAsia" w:eastAsiaTheme="minorEastAsia" w:cstheme="minorEastAsia"/>
          <w:sz w:val="24"/>
          <w:szCs w:val="24"/>
        </w:rPr>
        <w:t xml:space="preserve">各学院（部）根据参赛类别将参赛项目分类整理。一个学院设置一个总的文件夹，学院总文件夹中按照各大类分别设置文件夹。 </w:t>
      </w:r>
    </w:p>
    <w:p>
      <w:pPr>
        <w:widowControl/>
        <w:shd w:val="clear" w:color="auto" w:fill="FFFFFF"/>
        <w:spacing w:line="360" w:lineRule="auto"/>
        <w:ind w:firstLine="482"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bCs/>
          <w:sz w:val="24"/>
          <w:szCs w:val="24"/>
        </w:rPr>
        <w:t>（三）</w:t>
      </w:r>
      <w:r>
        <w:rPr>
          <w:rFonts w:hint="eastAsia" w:asciiTheme="minorEastAsia" w:hAnsiTheme="minorEastAsia" w:eastAsiaTheme="minorEastAsia" w:cstheme="minorEastAsia"/>
          <w:sz w:val="24"/>
          <w:szCs w:val="24"/>
        </w:rPr>
        <w:t>《参赛作品汇总表》（附件7）中的信息与各报名表中的信息必须一致，如有作品参赛信息不一致者，视为无效。电子材料请保存在移动硬盘或U盘提交。</w:t>
      </w:r>
    </w:p>
    <w:p>
      <w:pPr>
        <w:widowControl/>
        <w:shd w:val="clear" w:color="auto" w:fill="FFFFFF"/>
        <w:spacing w:line="360" w:lineRule="auto"/>
        <w:ind w:firstLine="480"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未尽事宜，请咨询景老师，联系电话：3698179。</w:t>
      </w:r>
    </w:p>
    <w:p>
      <w:pPr>
        <w:widowControl/>
        <w:shd w:val="clear" w:color="auto" w:fill="FFFFFF"/>
        <w:spacing w:line="360" w:lineRule="auto"/>
        <w:ind w:firstLine="480"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附件：1. 舞台艺术类作品参演须知</w:t>
      </w:r>
    </w:p>
    <w:p>
      <w:pPr>
        <w:widowControl/>
        <w:shd w:val="clear" w:color="auto" w:fill="FFFFFF"/>
        <w:spacing w:line="360" w:lineRule="auto"/>
        <w:ind w:firstLine="480"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      2. 美术作品参展须知</w:t>
      </w:r>
    </w:p>
    <w:p>
      <w:pPr>
        <w:widowControl/>
        <w:shd w:val="clear" w:color="auto" w:fill="FFFFFF"/>
        <w:spacing w:line="360" w:lineRule="auto"/>
        <w:ind w:firstLine="480"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      3. 优质课堂展示须知</w:t>
      </w:r>
    </w:p>
    <w:p>
      <w:pPr>
        <w:widowControl/>
        <w:shd w:val="clear" w:color="auto" w:fill="FFFFFF"/>
        <w:spacing w:line="360" w:lineRule="auto"/>
        <w:ind w:firstLine="480"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      4. 艺术教育论文征集须知</w:t>
      </w:r>
    </w:p>
    <w:p>
      <w:pPr>
        <w:widowControl/>
        <w:shd w:val="clear" w:color="auto" w:fill="FFFFFF"/>
        <w:spacing w:line="360" w:lineRule="auto"/>
        <w:ind w:firstLine="480"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      5. 艺术教育成果展演报名表</w:t>
      </w:r>
    </w:p>
    <w:p>
      <w:pPr>
        <w:widowControl/>
        <w:shd w:val="clear" w:color="auto" w:fill="FFFFFF"/>
        <w:spacing w:line="360" w:lineRule="auto"/>
        <w:ind w:firstLine="480"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      6. 优质课堂展示报名表</w:t>
      </w:r>
    </w:p>
    <w:p>
      <w:pPr>
        <w:widowControl/>
        <w:shd w:val="clear" w:color="auto" w:fill="FFFFFF"/>
        <w:spacing w:line="360" w:lineRule="auto"/>
        <w:ind w:firstLine="480" w:firstLineChars="200"/>
        <w:jc w:val="left"/>
        <w:textAlignment w:val="baseline"/>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      7.</w:t>
      </w:r>
      <w:r>
        <w:rPr>
          <w:rFonts w:hint="eastAsia" w:asciiTheme="minorEastAsia" w:hAnsiTheme="minorEastAsia" w:eastAsiaTheme="minorEastAsia" w:cstheme="minorEastAsia"/>
          <w:sz w:val="24"/>
          <w:szCs w:val="24"/>
          <w:lang w:val="en-US" w:eastAsia="zh-CN"/>
        </w:rPr>
        <w:t xml:space="preserve"> </w:t>
      </w:r>
      <w:r>
        <w:rPr>
          <w:rFonts w:hint="eastAsia" w:asciiTheme="minorEastAsia" w:hAnsiTheme="minorEastAsia" w:eastAsiaTheme="minorEastAsia" w:cstheme="minorEastAsia"/>
          <w:sz w:val="24"/>
          <w:szCs w:val="24"/>
        </w:rPr>
        <w:t>参展作品汇总表</w:t>
      </w:r>
    </w:p>
    <w:p>
      <w:pPr>
        <w:widowControl/>
        <w:shd w:val="clear" w:color="auto" w:fill="FFFFFF"/>
        <w:spacing w:line="360" w:lineRule="auto"/>
        <w:ind w:firstLine="480" w:firstLineChars="200"/>
        <w:jc w:val="left"/>
        <w:textAlignment w:val="baseline"/>
        <w:rPr>
          <w:rFonts w:hint="eastAsia" w:asciiTheme="minorEastAsia" w:hAnsiTheme="minorEastAsia" w:eastAsiaTheme="minorEastAsia" w:cstheme="minorEastAsia"/>
          <w:sz w:val="24"/>
          <w:szCs w:val="24"/>
        </w:rPr>
      </w:pPr>
    </w:p>
    <w:p>
      <w:pPr>
        <w:pStyle w:val="5"/>
        <w:spacing w:after="0" w:line="360" w:lineRule="auto"/>
        <w:ind w:left="0" w:leftChars="0" w:firstLine="480" w:firstLineChars="200"/>
        <w:rPr>
          <w:rFonts w:hint="eastAsia" w:asciiTheme="minorEastAsia" w:hAnsiTheme="minorEastAsia" w:eastAsiaTheme="minorEastAsia" w:cstheme="minorEastAsia"/>
          <w:sz w:val="24"/>
          <w:szCs w:val="24"/>
        </w:rPr>
      </w:pPr>
    </w:p>
    <w:p>
      <w:pPr>
        <w:pStyle w:val="5"/>
        <w:spacing w:after="0" w:line="360" w:lineRule="auto"/>
        <w:jc w:val="righ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教务处</w:t>
      </w:r>
    </w:p>
    <w:p>
      <w:pPr>
        <w:pStyle w:val="5"/>
        <w:spacing w:after="0" w:line="360" w:lineRule="auto"/>
        <w:jc w:val="right"/>
        <w:rPr>
          <w:rFonts w:hint="eastAsia" w:asciiTheme="minorEastAsia" w:hAnsiTheme="minorEastAsia" w:eastAsiaTheme="minorEastAsia" w:cstheme="minorEastAsia"/>
          <w:sz w:val="24"/>
          <w:szCs w:val="24"/>
        </w:rPr>
      </w:pPr>
      <w:bookmarkStart w:id="0" w:name="_GoBack"/>
      <w:bookmarkEnd w:id="0"/>
      <w:r>
        <w:rPr>
          <w:rFonts w:hint="eastAsia" w:asciiTheme="minorEastAsia" w:hAnsiTheme="minorEastAsia" w:eastAsiaTheme="minorEastAsia" w:cstheme="minorEastAsia"/>
          <w:sz w:val="24"/>
          <w:szCs w:val="24"/>
        </w:rPr>
        <w:t>2024年6月14日</w:t>
      </w:r>
    </w:p>
    <w:p>
      <w:pPr>
        <w:rPr>
          <w:rFonts w:hint="eastAsia" w:asciiTheme="minorEastAsia" w:hAnsiTheme="minorEastAsia" w:eastAsiaTheme="minorEastAsia" w:cstheme="minor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libri Light">
    <w:panose1 w:val="020F0302020204030204"/>
    <w:charset w:val="00"/>
    <w:family w:val="auto"/>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7CA463"/>
    <w:multiLevelType w:val="singleLevel"/>
    <w:tmpl w:val="077CA463"/>
    <w:lvl w:ilvl="0" w:tentative="0">
      <w:start w:val="3"/>
      <w:numFmt w:val="chineseCounting"/>
      <w:suff w:val="nothing"/>
      <w:lvlText w:val="%1、"/>
      <w:lvlJc w:val="left"/>
      <w:rPr>
        <w:rFonts w:hint="eastAsia"/>
      </w:rPr>
    </w:lvl>
  </w:abstractNum>
  <w:abstractNum w:abstractNumId="1">
    <w:nsid w:val="4269EDAA"/>
    <w:multiLevelType w:val="singleLevel"/>
    <w:tmpl w:val="4269EDAA"/>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xN2M0M2Y1NjMwN2M4YWVmOWY1MWI0OWVlNjIzOTcifQ=="/>
  </w:docVars>
  <w:rsids>
    <w:rsidRoot w:val="7D315DF2"/>
    <w:rsid w:val="00271DE3"/>
    <w:rsid w:val="00684FBE"/>
    <w:rsid w:val="0077210A"/>
    <w:rsid w:val="00BE4E68"/>
    <w:rsid w:val="00C26B49"/>
    <w:rsid w:val="00F62108"/>
    <w:rsid w:val="021A1CBB"/>
    <w:rsid w:val="03F94EB0"/>
    <w:rsid w:val="08947CD4"/>
    <w:rsid w:val="09590800"/>
    <w:rsid w:val="0ACB0EC2"/>
    <w:rsid w:val="0BFB70CE"/>
    <w:rsid w:val="0F7A4A71"/>
    <w:rsid w:val="0F9F6A78"/>
    <w:rsid w:val="1229702E"/>
    <w:rsid w:val="13FC2CD8"/>
    <w:rsid w:val="14BD6F3B"/>
    <w:rsid w:val="15D867AD"/>
    <w:rsid w:val="17B13EC5"/>
    <w:rsid w:val="1A02764B"/>
    <w:rsid w:val="1B99048E"/>
    <w:rsid w:val="1DC04EF1"/>
    <w:rsid w:val="1F160328"/>
    <w:rsid w:val="26B626DA"/>
    <w:rsid w:val="292E1BE4"/>
    <w:rsid w:val="2F79568D"/>
    <w:rsid w:val="2FCC4FFA"/>
    <w:rsid w:val="30445B58"/>
    <w:rsid w:val="33095A50"/>
    <w:rsid w:val="33FC511C"/>
    <w:rsid w:val="3437492D"/>
    <w:rsid w:val="3D067554"/>
    <w:rsid w:val="3FDB15A1"/>
    <w:rsid w:val="42070628"/>
    <w:rsid w:val="450B20F5"/>
    <w:rsid w:val="45605456"/>
    <w:rsid w:val="46486679"/>
    <w:rsid w:val="481A563A"/>
    <w:rsid w:val="49604DDA"/>
    <w:rsid w:val="4D08379D"/>
    <w:rsid w:val="4E425F1D"/>
    <w:rsid w:val="534A181F"/>
    <w:rsid w:val="54773CB1"/>
    <w:rsid w:val="5566646A"/>
    <w:rsid w:val="59B2220A"/>
    <w:rsid w:val="5A2F2DD3"/>
    <w:rsid w:val="5E69441F"/>
    <w:rsid w:val="5F4A1665"/>
    <w:rsid w:val="60EA33C9"/>
    <w:rsid w:val="62743941"/>
    <w:rsid w:val="63174490"/>
    <w:rsid w:val="66952BFF"/>
    <w:rsid w:val="67866B7F"/>
    <w:rsid w:val="69136068"/>
    <w:rsid w:val="6DE16B86"/>
    <w:rsid w:val="7160771B"/>
    <w:rsid w:val="76014044"/>
    <w:rsid w:val="78D62A05"/>
    <w:rsid w:val="78ED74E9"/>
    <w:rsid w:val="7B7C4555"/>
    <w:rsid w:val="7BC50E05"/>
    <w:rsid w:val="7D315DF2"/>
    <w:rsid w:val="7F2361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eastAsia="宋体" w:cs="Times New Roman"/>
      <w:b/>
      <w:bCs/>
      <w:kern w:val="44"/>
      <w:sz w:val="48"/>
      <w:szCs w:val="48"/>
    </w:rPr>
  </w:style>
  <w:style w:type="character" w:default="1" w:styleId="8">
    <w:name w:val="Default Paragraph Font"/>
    <w:autoRedefine/>
    <w:unhideWhenUsed/>
    <w:qFormat/>
    <w:uiPriority w:val="1"/>
  </w:style>
  <w:style w:type="table" w:default="1" w:styleId="7">
    <w:name w:val="Normal Table"/>
    <w:autoRedefine/>
    <w:semiHidden/>
    <w:unhideWhenUsed/>
    <w:uiPriority w:val="99"/>
    <w:tblPr>
      <w:tblCellMar>
        <w:top w:w="0" w:type="dxa"/>
        <w:left w:w="108" w:type="dxa"/>
        <w:bottom w:w="0" w:type="dxa"/>
        <w:right w:w="108" w:type="dxa"/>
      </w:tblCellMar>
    </w:tblPr>
  </w:style>
  <w:style w:type="paragraph" w:styleId="3">
    <w:name w:val="footer"/>
    <w:basedOn w:val="1"/>
    <w:link w:val="11"/>
    <w:autoRedefine/>
    <w:qFormat/>
    <w:uiPriority w:val="0"/>
    <w:pPr>
      <w:tabs>
        <w:tab w:val="center" w:pos="4153"/>
        <w:tab w:val="right" w:pos="8306"/>
      </w:tabs>
      <w:snapToGrid w:val="0"/>
      <w:jc w:val="left"/>
    </w:pPr>
    <w:rPr>
      <w:sz w:val="18"/>
      <w:szCs w:val="18"/>
    </w:rPr>
  </w:style>
  <w:style w:type="paragraph" w:styleId="4">
    <w:name w:val="header"/>
    <w:basedOn w:val="1"/>
    <w:link w:val="10"/>
    <w:autoRedefine/>
    <w:qFormat/>
    <w:uiPriority w:val="0"/>
    <w:pPr>
      <w:pBdr>
        <w:bottom w:val="single" w:color="auto" w:sz="6" w:space="1"/>
      </w:pBdr>
      <w:tabs>
        <w:tab w:val="center" w:pos="4153"/>
        <w:tab w:val="right" w:pos="8306"/>
      </w:tabs>
      <w:snapToGrid w:val="0"/>
      <w:jc w:val="center"/>
    </w:pPr>
    <w:rPr>
      <w:sz w:val="18"/>
      <w:szCs w:val="18"/>
    </w:rPr>
  </w:style>
  <w:style w:type="paragraph" w:styleId="5">
    <w:name w:val="Body Text Indent 3"/>
    <w:basedOn w:val="1"/>
    <w:autoRedefine/>
    <w:qFormat/>
    <w:uiPriority w:val="0"/>
    <w:pPr>
      <w:spacing w:after="120"/>
      <w:ind w:left="420" w:leftChars="200"/>
    </w:pPr>
    <w:rPr>
      <w:sz w:val="16"/>
      <w:szCs w:val="16"/>
    </w:rPr>
  </w:style>
  <w:style w:type="paragraph" w:styleId="6">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autoRedefine/>
    <w:qFormat/>
    <w:uiPriority w:val="0"/>
    <w:rPr>
      <w:b/>
    </w:rPr>
  </w:style>
  <w:style w:type="character" w:customStyle="1" w:styleId="10">
    <w:name w:val="页眉 字符"/>
    <w:basedOn w:val="8"/>
    <w:link w:val="4"/>
    <w:autoRedefine/>
    <w:qFormat/>
    <w:uiPriority w:val="0"/>
    <w:rPr>
      <w:rFonts w:asciiTheme="minorHAnsi" w:hAnsiTheme="minorHAnsi" w:eastAsiaTheme="minorEastAsia" w:cstheme="minorBidi"/>
      <w:kern w:val="2"/>
      <w:sz w:val="18"/>
      <w:szCs w:val="18"/>
    </w:rPr>
  </w:style>
  <w:style w:type="character" w:customStyle="1" w:styleId="11">
    <w:name w:val="页脚 字符"/>
    <w:basedOn w:val="8"/>
    <w:link w:val="3"/>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197</Words>
  <Characters>1123</Characters>
  <Lines>9</Lines>
  <Paragraphs>2</Paragraphs>
  <TotalTime>73</TotalTime>
  <ScaleCrop>false</ScaleCrop>
  <LinksUpToDate>false</LinksUpToDate>
  <CharactersWithSpaces>1318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2024-06-14T03:37:00Z</dcterms:created>
  <dc:creator>雁素鱼笺</dc:creator>
  <cp:lastModifiedBy>HUAWEI</cp:lastModifiedBy>
  <dcterms:modified xsi:type="dcterms:W3CDTF">2024-06-14T10:18:24Z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456E65EB3C9E407F93D1E973F8F91AFF_11</vt:lpwstr>
  </property>
</Properties>
</file>