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5107A">
      <w:pPr>
        <w:spacing w:line="440" w:lineRule="exact"/>
        <w:jc w:val="center"/>
        <w:rPr>
          <w:rFonts w:ascii="宋体" w:hAnsi="宋体"/>
          <w:sz w:val="24"/>
        </w:rPr>
      </w:pPr>
    </w:p>
    <w:p w14:paraId="1A570CFF">
      <w:pPr>
        <w:spacing w:line="440" w:lineRule="exact"/>
        <w:jc w:val="center"/>
        <w:rPr>
          <w:rFonts w:ascii="宋体" w:hAnsi="宋体"/>
          <w:sz w:val="24"/>
        </w:rPr>
      </w:pPr>
    </w:p>
    <w:p w14:paraId="6A235B32">
      <w:pPr>
        <w:spacing w:line="440" w:lineRule="exact"/>
        <w:jc w:val="center"/>
        <w:rPr>
          <w:rFonts w:ascii="宋体" w:hAnsi="宋体"/>
          <w:sz w:val="24"/>
        </w:rPr>
      </w:pPr>
    </w:p>
    <w:p w14:paraId="60D028CF">
      <w:pPr>
        <w:spacing w:line="440" w:lineRule="exact"/>
        <w:jc w:val="center"/>
        <w:rPr>
          <w:rFonts w:ascii="宋体" w:hAnsi="宋体"/>
          <w:sz w:val="24"/>
        </w:rPr>
      </w:pPr>
    </w:p>
    <w:p w14:paraId="0C9F3086">
      <w:pPr>
        <w:spacing w:line="440" w:lineRule="exact"/>
        <w:rPr>
          <w:rFonts w:ascii="宋体" w:hAnsi="宋体"/>
          <w:sz w:val="24"/>
        </w:rPr>
      </w:pPr>
    </w:p>
    <w:p w14:paraId="2170E5FC">
      <w:pPr>
        <w:spacing w:line="4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/>
          <w:sz w:val="24"/>
        </w:rPr>
        <w:t>教务〔2026〕</w:t>
      </w:r>
      <w:r>
        <w:rPr>
          <w:rFonts w:hint="eastAsia" w:ascii="宋体" w:hAnsi="宋体"/>
          <w:color w:val="auto"/>
          <w:sz w:val="24"/>
          <w:lang w:val="en-US" w:eastAsia="zh-CN"/>
        </w:rPr>
        <w:t>50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号</w:t>
      </w:r>
    </w:p>
    <w:p w14:paraId="7015B4E6">
      <w:pPr>
        <w:spacing w:line="440" w:lineRule="exact"/>
        <w:textAlignment w:val="baseline"/>
        <w:rPr>
          <w:rFonts w:ascii="宋体" w:hAnsi="宋体"/>
          <w:sz w:val="30"/>
          <w:szCs w:val="30"/>
        </w:rPr>
      </w:pPr>
    </w:p>
    <w:p w14:paraId="354227F5">
      <w:pPr>
        <w:spacing w:line="360" w:lineRule="auto"/>
        <w:jc w:val="center"/>
        <w:textAlignment w:val="baseline"/>
        <w:rPr>
          <w:rFonts w:ascii="宋体" w:hAnsi="宋体"/>
          <w:b/>
          <w:bCs/>
          <w:sz w:val="30"/>
          <w:szCs w:val="30"/>
        </w:rPr>
      </w:pPr>
      <w:bookmarkStart w:id="2" w:name="_GoBack"/>
      <w:r>
        <w:rPr>
          <w:rFonts w:hint="eastAsia" w:ascii="宋体" w:hAnsi="宋体"/>
          <w:b/>
          <w:bCs/>
          <w:sz w:val="30"/>
          <w:szCs w:val="30"/>
        </w:rPr>
        <w:t>关于组织参加2026“人工智能+金融”创新应用大赛</w:t>
      </w:r>
    </w:p>
    <w:p w14:paraId="1178F891">
      <w:pPr>
        <w:spacing w:line="360" w:lineRule="auto"/>
        <w:jc w:val="center"/>
        <w:textAlignment w:val="baseline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的通知</w:t>
      </w:r>
    </w:p>
    <w:bookmarkEnd w:id="2"/>
    <w:p w14:paraId="794D1BC5">
      <w:pPr>
        <w:spacing w:line="360" w:lineRule="auto"/>
        <w:textAlignment w:val="baseline"/>
        <w:rPr>
          <w:rFonts w:ascii="宋体" w:hAnsi="宋体"/>
          <w:sz w:val="24"/>
          <w:szCs w:val="24"/>
        </w:rPr>
      </w:pPr>
    </w:p>
    <w:p w14:paraId="2658564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各学院（部）：</w:t>
      </w:r>
    </w:p>
    <w:p w14:paraId="15B4243C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根据自治区2026年AI赋能千行百业超级联赛（A超）暨百业千企AI转型联合大赛统一部署，经研究，决定组织参加2026“人工智能+金融”创新应用大赛。现将有关事项通知如下：</w:t>
      </w:r>
    </w:p>
    <w:p w14:paraId="4720B77A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一、大赛主题</w:t>
      </w:r>
    </w:p>
    <w:p w14:paraId="424301A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AI赋能金融合作，AI助力安全治理</w:t>
      </w:r>
    </w:p>
    <w:p w14:paraId="678B98B2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二、参赛对象</w:t>
      </w:r>
    </w:p>
    <w:p w14:paraId="1EA220B3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全体教职工和在校学生</w:t>
      </w:r>
    </w:p>
    <w:p w14:paraId="79D860F5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三、赛道设置</w:t>
      </w:r>
    </w:p>
    <w:p w14:paraId="170120E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大赛聚焦金融领域发展机遇与前沿痛点，加快推动人工智能和大模型技术在金融领域的落地应用，促进技术与产业的深度融合，为高水平建设面向东盟的金融开放门户注入活力。参赛场景包括但不限于以下方向：</w:t>
      </w:r>
    </w:p>
    <w:p w14:paraId="7F77AE77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（一）面向东盟赛道</w:t>
      </w:r>
    </w:p>
    <w:p w14:paraId="47EF246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聚焦中国—东盟跨境金融应用场景，设置金融面向东盟融合发展赛道，探索人工智能在跨境清算结算、跨境贸易融资、跨境征信、汇率风险管理、跨境资本流动监测等领域的数智化应用方案，提升面向东盟的金融服务便利化水平，推动跨境金融基础设施互联互通，助力高水平建设面向东盟的金融开放门户。</w:t>
      </w:r>
    </w:p>
    <w:p w14:paraId="6B908F3C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（二）金融基础设施赛道</w:t>
      </w:r>
    </w:p>
    <w:p w14:paraId="7C75B51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聚焦金融数据安全治理、反电信网络诈骗、智能风控与合规监管等领域，设置金融基础设施升级发展赛道，探索人工智能在征信体系智能化、交易反欺诈监测、数据安全防护、监管科技及金融网络攻击预警等方面的应用方案，夯实金融基础设施数字化底座，提升金融系统韧性与运行效率。</w:t>
      </w:r>
    </w:p>
    <w:p w14:paraId="7A5F96D8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（三）服务实体经济赛道</w:t>
      </w:r>
    </w:p>
    <w:p w14:paraId="63E7734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聚焦金融“五篇大文章”与金融机构内部管理提质增效，设置金融服务实体高质量发展赛道，探索人工智能在科创企业融资、绿色资产定价与ESG评价、普惠金融信用评估与智能授信、养老需求预测与智能投顾、数字化客户服务等方面的创新应用，推动人工智能全方位赋能实体经济，服务广西经济社会高质量发展。</w:t>
      </w:r>
    </w:p>
    <w:p w14:paraId="18794985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四、比赛赛制</w:t>
      </w:r>
    </w:p>
    <w:p w14:paraId="354FD26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赛事流程包括报名提交作品、初步筛选、初赛评审、决赛及成果展示等四个阶段。相关材料的具体要求及提交方式详见附件。</w:t>
      </w:r>
    </w:p>
    <w:p w14:paraId="2942ABBC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（一）报名提交作品（2026年7月15日前）</w:t>
      </w:r>
    </w:p>
    <w:p w14:paraId="37A0A590">
      <w:pPr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申报团队下载并填写报名表（附件2），将项目计划书或初步成果申报材料按照统一格式编制成参赛方案（附件3），提交必要材料及其他证明材料</w:t>
      </w:r>
    </w:p>
    <w:p w14:paraId="4CB2AB6F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（二）资格审核与初筛（2026年7月31日前）</w:t>
      </w:r>
    </w:p>
    <w:p w14:paraId="398ED9F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组委会组织参赛资格合规审查，重点核查参赛主体资质、项目合规性及材料完整性，结合赛道匹配度，筛选出入围初赛的项目名单并公示。</w:t>
      </w:r>
    </w:p>
    <w:p w14:paraId="093DFE8A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（三）初赛评审（2026年8月15日前）</w:t>
      </w:r>
    </w:p>
    <w:p w14:paraId="066A9D0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入围初赛评审环节的参赛队伍提交详细技术方案、原型演示视频或应用案例等材料。采用“线上评审+集中答辩”方式，由专家评审委员会根据创新性、实用性、合规性与安全性、特色适配性等维度打分，各赛道评选出若干个项目晋级决赛。</w:t>
      </w:r>
    </w:p>
    <w:p w14:paraId="79D49D23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（四）决赛及成果展示（2026年8月30日前）</w:t>
      </w:r>
    </w:p>
    <w:p w14:paraId="21149D2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决赛采用“现场路演+答辩”形式，参赛团队在决赛现场规定时间内，采用PPT、视频、演示程序（Demo）等方式展示方案的技术亮点、应用场景、商业价值等核心内容，并现场解答评审团的提问。组委会将邀请知名专家学者、企业高管和投资机构负责人，通过数据采集测评、路演答辩及展览展示等多种方式对入围决赛项目进行综合评分，按照赛道分别决出获奖项目。决赛举办地点、时间和相关事项另行通知。</w:t>
      </w:r>
    </w:p>
    <w:p w14:paraId="58A56E0B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在第23届中国—东盟博览会举办“AI+金融成果展”期间，邀请晋级决赛项目及重点金融科技企业参展。并于9月中国—东盟金融合作与发展论坛上发布优秀获奖成果，并组织项目签约、颁奖等环节。</w:t>
      </w:r>
    </w:p>
    <w:p w14:paraId="06C512DC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五、比赛要求</w:t>
      </w:r>
    </w:p>
    <w:p w14:paraId="628D0C5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（一）参赛单位需具备独立法人资格，被列入“信用中国”失信名单的单位及个人不得参赛。</w:t>
      </w:r>
    </w:p>
    <w:p w14:paraId="189690C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（二）同一参赛单位可以有多个团队和项目参赛，但</w:t>
      </w:r>
      <w:r>
        <w:rPr>
          <w:rFonts w:hint="eastAsia" w:ascii="宋体" w:hAnsi="宋体"/>
          <w:b/>
          <w:sz w:val="24"/>
          <w:szCs w:val="24"/>
        </w:rPr>
        <w:t>每个参赛团队只能参加1个赛道并提交1个参赛项目</w:t>
      </w:r>
      <w:r>
        <w:rPr>
          <w:rFonts w:hint="eastAsia" w:ascii="宋体" w:hAnsi="宋体"/>
          <w:sz w:val="24"/>
          <w:szCs w:val="24"/>
        </w:rPr>
        <w:t>，每个参赛团队人数不超过15人。报名截止后，参赛团队名单不可更改。</w:t>
      </w:r>
    </w:p>
    <w:p w14:paraId="0AE3939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参赛项目须符合国家金融监管政策及数据安全、隐私保护等相关规定，不涉及涉密信息，无知识产权纠纷。其中，已实现商业化应用的项目需提供实际应用案例及成效证明；原型类项目需提供清晰的技术路径及可行性分析。</w:t>
      </w:r>
    </w:p>
    <w:p w14:paraId="5B3534A0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（四）参赛项目应未参与过同类赛事，避免重复参赛。</w:t>
      </w:r>
    </w:p>
    <w:p w14:paraId="4C54D039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六、评审标准及原则</w:t>
      </w:r>
    </w:p>
    <w:p w14:paraId="115EC880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（一）评选标准</w:t>
      </w:r>
    </w:p>
    <w:p w14:paraId="74B503C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各赛道统一采用“基础分+特色分”评分体系，总分100分，具体标准如下：</w:t>
      </w:r>
    </w:p>
    <w:tbl>
      <w:tblPr>
        <w:tblStyle w:val="9"/>
        <w:tblW w:w="8752" w:type="dxa"/>
        <w:tblInd w:w="111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20"/>
        <w:gridCol w:w="1208"/>
        <w:gridCol w:w="5624"/>
      </w:tblGrid>
      <w:tr w14:paraId="08FF2E9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0710F4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评审维度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26AA84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分值占比</w:t>
            </w:r>
          </w:p>
        </w:tc>
        <w:tc>
          <w:tcPr>
            <w:tcW w:w="5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EEB61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核心评价要点</w:t>
            </w:r>
          </w:p>
        </w:tc>
      </w:tr>
      <w:tr w14:paraId="0A66262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2" w:hRule="atLeast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107C3F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创新性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E70FD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30分</w:t>
            </w:r>
          </w:p>
        </w:tc>
        <w:tc>
          <w:tcPr>
            <w:tcW w:w="5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FE2A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技术架构、算法模型、应用场景、商业模式的新颖性与独特性，是否突破传统金融模式局限。</w:t>
            </w:r>
          </w:p>
        </w:tc>
      </w:tr>
      <w:tr w14:paraId="7677447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4" w:hRule="atLeast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1D3A1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实用性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52B48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30分</w:t>
            </w:r>
          </w:p>
        </w:tc>
        <w:tc>
          <w:tcPr>
            <w:tcW w:w="5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D6B1D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是否精准解决金融业务痛点，已落地项目需提供量化成效（如成本降低比例、效率提升数据等），原型项目需说明可行性及落地路径。</w:t>
            </w:r>
          </w:p>
        </w:tc>
      </w:tr>
      <w:tr w14:paraId="6AA5186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9" w:hRule="atLeast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03A55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合规性与安全性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2EFEA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20分</w:t>
            </w:r>
          </w:p>
        </w:tc>
        <w:tc>
          <w:tcPr>
            <w:tcW w:w="5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D5506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是否符合金融监管政策、数据安全及隐私保护要求，无知识产权风险，风控体系完善。</w:t>
            </w:r>
          </w:p>
        </w:tc>
      </w:tr>
      <w:tr w14:paraId="0C8830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atLeast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FE533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特色适配性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CC9364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20分</w:t>
            </w:r>
          </w:p>
        </w:tc>
        <w:tc>
          <w:tcPr>
            <w:tcW w:w="5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BC14C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是否与广西产业特色契合，对面向东盟金融开放发展等方面工作是否有支撑作用。</w:t>
            </w:r>
          </w:p>
        </w:tc>
      </w:tr>
    </w:tbl>
    <w:p w14:paraId="58A8A905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（二）评审原则</w:t>
      </w:r>
    </w:p>
    <w:p w14:paraId="5396EC5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坚持“公平、公正、公开、择优”原则，实行“盲审+回避”制度，评审专家将签署利益冲突声明，确保评审过程透明、结果公正。</w:t>
      </w:r>
    </w:p>
    <w:p w14:paraId="07B336AA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七、激励措施</w:t>
      </w:r>
    </w:p>
    <w:p w14:paraId="0BE8959C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构建“奖项支持+政策落地支持+资源对接服务”的全方位激励体系，强化赛事吸引力与成果转化能力。</w:t>
      </w:r>
    </w:p>
    <w:p w14:paraId="0B8DF06F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bookmarkStart w:id="0" w:name="heading_29"/>
      <w:r>
        <w:rPr>
          <w:rFonts w:hint="eastAsia" w:ascii="宋体" w:hAnsi="宋体"/>
          <w:b/>
          <w:sz w:val="24"/>
          <w:szCs w:val="24"/>
        </w:rPr>
        <w:t>（一）奖项奖励支持</w:t>
      </w:r>
    </w:p>
    <w:p w14:paraId="538EDA2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设置一、二、三等奖，具体奖项数量根据参赛团队数量和质量决定，由组委会颁发获奖证书、奖杯。其他所有晋级决赛的项目均颁发优秀奖证书。</w:t>
      </w:r>
    </w:p>
    <w:p w14:paraId="5D3480D0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（二）政策落地支持</w:t>
      </w:r>
      <w:bookmarkEnd w:id="0"/>
    </w:p>
    <w:p w14:paraId="7E735F6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1" w:name="heading_30"/>
      <w:r>
        <w:rPr>
          <w:rFonts w:hint="eastAsia" w:ascii="宋体" w:hAnsi="宋体"/>
          <w:sz w:val="24"/>
          <w:szCs w:val="24"/>
        </w:rPr>
        <w:t>获奖项目纳入自治区人工智能场景项目储备库，在政策和资源配置方面给予支持。</w:t>
      </w:r>
    </w:p>
    <w:p w14:paraId="23B8B091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（三）资源对接服务</w:t>
      </w:r>
      <w:bookmarkEnd w:id="1"/>
    </w:p>
    <w:p w14:paraId="10A1541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为获奖项目提供“一对一”金融机构对接服务，组织参赛项目与东盟国家金融机构、行业协会进行专题对接，助力项目拓展东盟市场；提供算力支持、数据资源对接（合规前提下）及专业技术辅导。</w:t>
      </w:r>
    </w:p>
    <w:p w14:paraId="336CE638">
      <w:pPr>
        <w:pStyle w:val="2"/>
        <w:spacing w:line="360" w:lineRule="auto"/>
        <w:ind w:firstLine="482" w:firstLineChars="20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八、其他事项</w:t>
      </w:r>
    </w:p>
    <w:p w14:paraId="37F1CE3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（一）大赛组委会对获奖项目进行公示，公示期为5天，接受社会各界监督。未通过公示的项目，组委会将取消其获奖资格。</w:t>
      </w:r>
    </w:p>
    <w:p w14:paraId="53B60F7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（二）本方案最终解释权归自治区党委金融办（自治区地方金融管理局）所有。</w:t>
      </w:r>
    </w:p>
    <w:p w14:paraId="23F1F68C">
      <w:pPr>
        <w:pStyle w:val="2"/>
        <w:spacing w:line="360" w:lineRule="auto"/>
        <w:ind w:firstLine="48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未尽事宜，请及时与相关人员联系。教务处科创办：景老师，3698179；大赛联系人：谭诗程，0771-8805597；陈凯秋，0771-8805595。</w:t>
      </w:r>
    </w:p>
    <w:p w14:paraId="4107261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5B366D72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附件：1.2026“人工智能+金融”创新应用大赛参赛材料申报指南</w:t>
      </w:r>
    </w:p>
    <w:p w14:paraId="5F94A9CA">
      <w:pPr>
        <w:spacing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2.2026“人工智能+金融”创新应用大赛参赛报名表</w:t>
      </w:r>
    </w:p>
    <w:p w14:paraId="31982AC1">
      <w:pPr>
        <w:spacing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3.2026“人工智能+金融”创新应用大赛参赛方案撰写要求</w:t>
      </w:r>
    </w:p>
    <w:p w14:paraId="26FA15FF">
      <w:pPr>
        <w:spacing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4.2026“人工智能+金融”创新应用大赛参赛申报书</w:t>
      </w:r>
    </w:p>
    <w:p w14:paraId="5110CF3B">
      <w:pPr>
        <w:spacing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5.2026“人工智能+金融”创新应用大赛参赛视频提交说明</w:t>
      </w:r>
    </w:p>
    <w:p w14:paraId="1AEBB1ED">
      <w:pPr>
        <w:spacing w:line="360" w:lineRule="auto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教务处/教师教学发展中心</w:t>
      </w:r>
    </w:p>
    <w:p w14:paraId="49CDF63B">
      <w:pPr>
        <w:wordWrap w:val="0"/>
        <w:spacing w:line="360" w:lineRule="auto"/>
        <w:jc w:val="right"/>
      </w:pPr>
      <w:r>
        <w:rPr>
          <w:rFonts w:hint="eastAsia" w:ascii="宋体" w:hAnsi="宋体"/>
          <w:sz w:val="24"/>
        </w:rPr>
        <w:t>2026年6月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9A"/>
    <w:rsid w:val="00100E4D"/>
    <w:rsid w:val="003F4916"/>
    <w:rsid w:val="004F100B"/>
    <w:rsid w:val="00540E9D"/>
    <w:rsid w:val="00973239"/>
    <w:rsid w:val="00B42590"/>
    <w:rsid w:val="00E54C9A"/>
    <w:rsid w:val="00E64DBA"/>
    <w:rsid w:val="139A1EB5"/>
    <w:rsid w:val="18221576"/>
    <w:rsid w:val="19B40B10"/>
    <w:rsid w:val="38060B00"/>
    <w:rsid w:val="5248023B"/>
    <w:rsid w:val="63324197"/>
    <w:rsid w:val="69C436A7"/>
    <w:rsid w:val="7C7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uiPriority w:val="0"/>
    <w:pPr>
      <w:autoSpaceDE w:val="0"/>
      <w:autoSpaceDN w:val="0"/>
      <w:adjustRightInd w:val="0"/>
    </w:pPr>
    <w:rPr>
      <w:rFonts w:ascii="方正小标宋_GBK" w:eastAsia="方正小标宋_GBK"/>
      <w:color w:val="000000"/>
      <w:sz w:val="24"/>
      <w:szCs w:val="24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/>
    </w:rPr>
  </w:style>
  <w:style w:type="paragraph" w:styleId="4">
    <w:name w:val="Normal Indent"/>
    <w:next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 Indent"/>
    <w:basedOn w:val="1"/>
    <w:qFormat/>
    <w:uiPriority w:val="0"/>
    <w:pPr>
      <w:ind w:left="1596" w:hanging="969"/>
    </w:p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next w:val="1"/>
    <w:qFormat/>
    <w:uiPriority w:val="0"/>
    <w:pPr>
      <w:ind w:left="0" w:firstLine="880" w:firstLineChars="200"/>
    </w:pPr>
    <w:rPr>
      <w:rFonts w:eastAsia="Times New Roman" w:cs="Times New Roman"/>
      <w:sz w:val="32"/>
      <w:szCs w:val="32"/>
    </w:rPr>
  </w:style>
  <w:style w:type="character" w:styleId="11">
    <w:name w:val="Strong"/>
    <w:qFormat/>
    <w:uiPriority w:val="0"/>
    <w:rPr>
      <w:b/>
      <w:bCs/>
    </w:rPr>
  </w:style>
  <w:style w:type="character" w:customStyle="1" w:styleId="12">
    <w:name w:val="页眉 字符"/>
    <w:basedOn w:val="10"/>
    <w:link w:val="7"/>
    <w:uiPriority w:val="0"/>
    <w:rPr>
      <w:rFonts w:ascii="Calibri" w:hAnsi="Calibri" w:cs="宋体"/>
      <w:kern w:val="2"/>
      <w:sz w:val="18"/>
      <w:szCs w:val="18"/>
    </w:rPr>
  </w:style>
  <w:style w:type="character" w:customStyle="1" w:styleId="13">
    <w:name w:val="页脚 字符"/>
    <w:basedOn w:val="10"/>
    <w:link w:val="6"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2438</Words>
  <Characters>2544</Characters>
  <Lines>18</Lines>
  <Paragraphs>5</Paragraphs>
  <TotalTime>34</TotalTime>
  <ScaleCrop>false</ScaleCrop>
  <LinksUpToDate>false</LinksUpToDate>
  <CharactersWithSpaces>2546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2026-06-15T01:51:00Z</dcterms:created>
  <dc:creator>Administrator</dc:creator>
  <cp:lastModifiedBy>WPS_1508944842</cp:lastModifiedBy>
  <cp:lastPrinted>2026-06-16T00:55:00Z</cp:lastPrinted>
  <dcterms:modified xsi:type="dcterms:W3CDTF">2026-06-16T02:07:41Z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eyJoZGlkIjoiMTQxN2M0M2Y1NjMwN2M4YWVmOWY1MWI0OWVlNjIzOTciLCJ1c2VySWQiOiIzMTY4MjI2NDAifQ==</vt:lpwstr>
  </property>
  <property fmtid="{D5CDD505-2E9C-101B-9397-08002B2CF9AE}" pid="4" name="ICV">
    <vt:lpwstr>031B822DC1C84B6F8B6B66A945CC0747_12</vt:lpwstr>
  </property>
</Properties>
</file>