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Times New Roman"/>
          <w:bCs/>
          <w:spacing w:val="-20"/>
          <w:sz w:val="32"/>
          <w:szCs w:val="24"/>
          <w:lang w:val="en-US" w:eastAsia="zh-CN"/>
        </w:rPr>
      </w:pPr>
      <w:bookmarkStart w:id="0" w:name="_GoBack"/>
      <w:r>
        <w:rPr>
          <w:rFonts w:hint="eastAsia" w:ascii="黑体" w:hAnsi="黑体" w:eastAsia="黑体" w:cs="Times New Roman"/>
          <w:bCs/>
          <w:spacing w:val="-20"/>
          <w:sz w:val="32"/>
          <w:szCs w:val="24"/>
          <w:lang w:val="en-US" w:eastAsia="zh-CN"/>
        </w:rPr>
        <w:t>附件1.教育部原文：</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firstLineChars="200"/>
        <w:rPr>
          <w:rFonts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第二学士学位教育作为大学本科后教育，是培养复合型人才的重要渠道。为贯彻落实《国务院办公厅关于应对新冠肺炎疫情影响强化稳就业举措的实施意见》（国办发〔2020〕6号）精神，进一步优化人才培养结构，为高校毕业生创造更多再学习机会，增强学生就业创业能力，经研究，决定在普通高校继续开展第二学士学位教育。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一、已通过教育部普通高等学校本科教学评估五年及以上的高校，可申请开展第二学士学位教育。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二、高校可在已设置的第二学士学位专业招生，也可依托现具有学士学位授予资格的本科专业申请增设第二学士学位专业，报教育部集中备案后进行招生，已撤销的第二学士学位专业需重新申请备案。备案工作与每年新增本科专业设置工作同时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三、鼓励高校开展第二学士学位教育，2020年增加一次第二学士学位专业集中备案。重点支持高校在国家急需的公共卫生与预防医学、应急技术与管理、电子信息、大数据、网络空间安全、集成电路、能源动力、生物与医药、养老护理、家政服务等相关领域以及高校有能力、有需要举办的专业增设第二学士学位专业；支持高校依托“双一流”建设学科专业增设第二学士学位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四、第二学士学位招生计划将作为增量纳入国家普通本科总规模内单列下达。各地各高校要严格执行教育部核定的第二学士学位招生计划，任何高校均不得不经批准擅自招生和授予学历学位。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五、第二学士学位主要招收当年普通高校本科毕业并获得学士学位的应届毕业生，以及近三年普通高校本科毕业并获得学士学位、目前未就业的往届生。其他人员原则上不得报考。具体招生范围由高校自主确定。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六、第二学士学位招生考试办法由招生高校根据相关专业人才培养要求和学校实际研究制定，并报属地省级教育行政部门备案。招生高校应参照国家教育考试有关工作要求，加强招生考试管理，规范工作程序，严格录取标准，确保公平公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七、学生可报考与原本科专业分属不同学科门类的第二学士学位专业；或与原本科专业属于同一学科门类、但不属于同一本科专业类的第二学士学位专业。具体专业所属的学科门类、本科专业类可登录教育部网站（www.moe.gov.cn），搜索“普通高等学校本科专业目录（2020版）”进行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八、第二学士学位学制为两年，全日制学习，纳入高校学籍管理系统。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九、第二学士学位教学内容主要包括专业基础课和专业课，原则上不安排专业实习。高校可参照《普通高校本科专业类教学质量国家标准》相关要求，制定专门的培养方案和教学计划，不得迁就和随意降低标准。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十、第二学士学位的毕业证书和学位证书，按现行毕业证书和学位证书管理办法颁发。毕业证书上须注明第二学士学位的专业名称、学习时间等内容；学位证书上须明确标识“第二学士学位”字样。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十一、凡在修业年限内，修完规定课程，达到毕业和授予学士学位要求的，颁发毕业证书和学位证书。达不到毕业要求的，不再延长学习时间，亦不实行留级制度，可发结业证书。对退学学生，学校应当发给肄业证书或写实性学习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十二、第二学士学位毕业学生按当年应届生身份派遣并办理相关就业手续。学生如中途退学，对于以应届毕业生身份入学的，按退学当年应届本科毕业生身份派遣；以往届毕业生身份入学的，按现行相关规定办理派遣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十三、第二学士学位生在生均拨款、学生资助、收费等方面参照相应专业本科生执行。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微软雅黑" w:hAnsi="微软雅黑" w:eastAsia="微软雅黑" w:cs="微软雅黑"/>
          <w:color w:val="4B4B4B"/>
          <w:sz w:val="24"/>
          <w:szCs w:val="24"/>
        </w:rPr>
      </w:pPr>
      <w:r>
        <w:rPr>
          <w:rFonts w:hint="eastAsia" w:ascii="微软雅黑" w:hAnsi="微软雅黑" w:eastAsia="微软雅黑" w:cs="微软雅黑"/>
          <w:color w:val="4B4B4B"/>
          <w:sz w:val="24"/>
          <w:szCs w:val="24"/>
          <w:shd w:val="clear" w:fill="FFFFFF"/>
        </w:rPr>
        <w:t>　　十四、各地各高校要高度重视继续开展第二学士学位教育工作，切实提高政治站位，结合实际制定招生和培养方案，用足用好招生计划，积极稳妥操作，精心组织实施。有关省级教育行政部门负责监督相关高校在本地开展第二学士学位计划的招生考试工作，对违反相关规定、造成恶劣社会影响的，应追究相关人员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rPr>
          <w:rFonts w:hint="eastAsia" w:ascii="黑体" w:hAnsi="黑体" w:eastAsia="黑体" w:cs="Times New Roman"/>
          <w:bCs/>
          <w:spacing w:val="-20"/>
          <w:sz w:val="32"/>
          <w:szCs w:val="24"/>
        </w:rPr>
      </w:pPr>
      <w:r>
        <w:rPr>
          <w:rFonts w:hint="eastAsia" w:ascii="微软雅黑" w:hAnsi="微软雅黑" w:eastAsia="微软雅黑" w:cs="微软雅黑"/>
          <w:color w:val="4B4B4B"/>
          <w:sz w:val="24"/>
          <w:szCs w:val="24"/>
          <w:shd w:val="clear" w:fill="FFFFFF"/>
        </w:rPr>
        <w:t>　　十五、各地各高校要加强形势分析研判，加强宣传引导，积极开展面向考生和家长的政策咨询，深入细致做好第二学士学位的政策解读工作，及时回应社会关切，营造良好氛围，确保工作落实到位。相关招生工作应在当年7月底之前完成。</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15454432"/>
      <w:docPartObj>
        <w:docPartGallery w:val="autotext"/>
      </w:docPartObj>
    </w:sdtPr>
    <w:sdtEndPr>
      <w:rPr>
        <w:rFonts w:hint="eastAsia" w:ascii="楷体_GB2312" w:eastAsia="楷体_GB2312"/>
        <w:sz w:val="20"/>
      </w:rPr>
    </w:sdtEndPr>
    <w:sdtContent>
      <w:p>
        <w:pPr>
          <w:pStyle w:val="2"/>
          <w:jc w:val="center"/>
          <w:rPr>
            <w:rFonts w:ascii="楷体_GB2312" w:eastAsia="楷体_GB2312"/>
            <w:sz w:val="20"/>
          </w:rPr>
        </w:pPr>
        <w:r>
          <w:rPr>
            <w:rFonts w:hint="eastAsia" w:ascii="楷体_GB2312" w:eastAsia="楷体_GB2312"/>
            <w:sz w:val="20"/>
          </w:rPr>
          <w:fldChar w:fldCharType="begin"/>
        </w:r>
        <w:r>
          <w:rPr>
            <w:rFonts w:hint="eastAsia" w:ascii="楷体_GB2312" w:eastAsia="楷体_GB2312"/>
            <w:sz w:val="20"/>
          </w:rPr>
          <w:instrText xml:space="preserve">PAGE   \* MERGEFORMAT</w:instrText>
        </w:r>
        <w:r>
          <w:rPr>
            <w:rFonts w:hint="eastAsia" w:ascii="楷体_GB2312" w:eastAsia="楷体_GB2312"/>
            <w:sz w:val="20"/>
          </w:rPr>
          <w:fldChar w:fldCharType="separate"/>
        </w:r>
        <w:r>
          <w:rPr>
            <w:rFonts w:ascii="楷体_GB2312" w:eastAsia="楷体_GB2312"/>
            <w:sz w:val="20"/>
            <w:lang w:val="zh-CN"/>
          </w:rPr>
          <w:t>2</w:t>
        </w:r>
        <w:r>
          <w:rPr>
            <w:rFonts w:hint="eastAsia" w:ascii="楷体_GB2312" w:eastAsia="楷体_GB2312"/>
            <w:sz w:val="20"/>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363F58"/>
    <w:rsid w:val="1F76373F"/>
    <w:rsid w:val="3A363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6">
    <w:name w:val="样式1"/>
    <w:basedOn w:val="5"/>
    <w:uiPriority w:val="0"/>
    <w:rPr>
      <w:rFonts w:ascii="Times New Roman" w:hAnsi="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2020-06-01T04:12:00Z</dcterms:created>
  <dc:creator>-RUA-</dc:creator>
  <cp:lastModifiedBy>-RUA-</cp:lastModifiedBy>
  <dcterms:modified xsi:type="dcterms:W3CDTF">2020-06-01T04:14:00Z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