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78B417">
      <w:pPr>
        <w:jc w:val="center"/>
        <w:rPr>
          <w:rFonts w:hint="eastAsia"/>
          <w:sz w:val="24"/>
          <w:szCs w:val="24"/>
        </w:rPr>
      </w:pPr>
    </w:p>
    <w:p w14:paraId="6FD8BF55">
      <w:pPr>
        <w:jc w:val="center"/>
        <w:rPr>
          <w:rFonts w:hint="eastAsia"/>
          <w:sz w:val="24"/>
          <w:szCs w:val="24"/>
        </w:rPr>
      </w:pPr>
    </w:p>
    <w:p w14:paraId="147FE48A">
      <w:pPr>
        <w:jc w:val="center"/>
        <w:rPr>
          <w:rFonts w:hint="eastAsia"/>
          <w:sz w:val="24"/>
          <w:szCs w:val="24"/>
        </w:rPr>
      </w:pPr>
    </w:p>
    <w:p w14:paraId="072F9742">
      <w:pPr>
        <w:jc w:val="center"/>
        <w:rPr>
          <w:rFonts w:hint="eastAsia"/>
          <w:sz w:val="24"/>
          <w:szCs w:val="24"/>
        </w:rPr>
      </w:pPr>
    </w:p>
    <w:p w14:paraId="70AB1FF8">
      <w:pPr>
        <w:jc w:val="center"/>
        <w:rPr>
          <w:rFonts w:hint="eastAsia"/>
          <w:sz w:val="24"/>
          <w:szCs w:val="24"/>
        </w:rPr>
      </w:pPr>
    </w:p>
    <w:p w14:paraId="051F7363">
      <w:pPr>
        <w:jc w:val="center"/>
        <w:rPr>
          <w:rFonts w:hint="eastAsia"/>
          <w:sz w:val="24"/>
          <w:szCs w:val="24"/>
        </w:rPr>
      </w:pPr>
    </w:p>
    <w:p w14:paraId="1A706D35">
      <w:pPr>
        <w:jc w:val="center"/>
        <w:rPr>
          <w:rFonts w:hint="eastAsia"/>
          <w:sz w:val="24"/>
          <w:szCs w:val="24"/>
        </w:rPr>
      </w:pPr>
    </w:p>
    <w:p w14:paraId="72ECAD68">
      <w:pPr>
        <w:jc w:val="center"/>
        <w:rPr>
          <w:rFonts w:hint="eastAsia"/>
          <w:sz w:val="24"/>
          <w:szCs w:val="24"/>
        </w:rPr>
      </w:pPr>
    </w:p>
    <w:p w14:paraId="162A00C5">
      <w:pPr>
        <w:jc w:val="center"/>
        <w:rPr>
          <w:rFonts w:hint="eastAsia"/>
          <w:color w:val="auto"/>
          <w:sz w:val="24"/>
          <w:szCs w:val="24"/>
        </w:rPr>
      </w:pPr>
      <w:r>
        <w:rPr>
          <w:rFonts w:hint="eastAsia"/>
          <w:color w:val="auto"/>
          <w:sz w:val="24"/>
          <w:szCs w:val="24"/>
        </w:rPr>
        <w:t>教务〔20</w:t>
      </w:r>
      <w:r>
        <w:rPr>
          <w:rFonts w:hint="eastAsia"/>
          <w:color w:val="auto"/>
          <w:sz w:val="24"/>
          <w:szCs w:val="24"/>
          <w:lang w:val="en-US" w:eastAsia="zh-CN"/>
        </w:rPr>
        <w:t>26</w:t>
      </w:r>
      <w:r>
        <w:rPr>
          <w:rFonts w:hint="eastAsia"/>
          <w:color w:val="auto"/>
          <w:sz w:val="24"/>
          <w:szCs w:val="24"/>
        </w:rPr>
        <w:t>〕</w:t>
      </w:r>
      <w:r>
        <w:rPr>
          <w:rFonts w:hint="eastAsia"/>
          <w:color w:val="auto"/>
          <w:sz w:val="24"/>
          <w:szCs w:val="24"/>
          <w:lang w:val="en-US" w:eastAsia="zh-CN"/>
        </w:rPr>
        <w:t>5</w:t>
      </w:r>
      <w:r>
        <w:rPr>
          <w:rFonts w:hint="eastAsia"/>
          <w:color w:val="auto"/>
          <w:sz w:val="24"/>
          <w:szCs w:val="24"/>
        </w:rPr>
        <w:t>号</w:t>
      </w:r>
    </w:p>
    <w:p w14:paraId="01B1A871">
      <w:pPr>
        <w:jc w:val="center"/>
        <w:rPr>
          <w:rFonts w:hint="eastAsia"/>
          <w:color w:val="auto"/>
          <w:sz w:val="24"/>
          <w:szCs w:val="24"/>
        </w:rPr>
      </w:pPr>
    </w:p>
    <w:p w14:paraId="253246E1">
      <w:pPr>
        <w:pStyle w:val="2"/>
        <w:widowControl/>
        <w:shd w:val="clear" w:color="auto" w:fill="FFFFFF"/>
        <w:spacing w:before="0" w:beforeAutospacing="0" w:after="0" w:afterAutospacing="0" w:line="460" w:lineRule="exact"/>
        <w:jc w:val="center"/>
        <w:textAlignment w:val="baseline"/>
        <w:rPr>
          <w:rFonts w:hint="eastAsia" w:ascii="宋体" w:hAnsi="宋体" w:eastAsia="宋体" w:cs="宋体"/>
          <w:b/>
          <w:bCs/>
          <w:color w:val="auto"/>
          <w:sz w:val="28"/>
          <w:szCs w:val="28"/>
          <w:shd w:val="clear" w:color="auto" w:fill="FFFFFF"/>
          <w:lang w:val="en-US" w:eastAsia="zh-CN"/>
        </w:rPr>
      </w:pPr>
      <w:r>
        <w:rPr>
          <w:rFonts w:hint="eastAsia" w:ascii="宋体" w:hAnsi="宋体" w:eastAsia="宋体" w:cs="宋体"/>
          <w:b/>
          <w:bCs/>
          <w:color w:val="auto"/>
          <w:sz w:val="28"/>
          <w:szCs w:val="28"/>
          <w:shd w:val="clear" w:color="auto" w:fill="FFFFFF"/>
          <w:lang w:val="en-US" w:eastAsia="zh-CN"/>
        </w:rPr>
        <w:t>关于做好2026年上半年全国中小学教师资格考试笔试</w:t>
      </w:r>
    </w:p>
    <w:p w14:paraId="589A9612">
      <w:pPr>
        <w:pStyle w:val="2"/>
        <w:widowControl/>
        <w:shd w:val="clear" w:color="auto" w:fill="FFFFFF"/>
        <w:spacing w:before="0" w:beforeAutospacing="0" w:after="0" w:afterAutospacing="0" w:line="460" w:lineRule="exact"/>
        <w:jc w:val="center"/>
        <w:textAlignment w:val="baseline"/>
        <w:rPr>
          <w:rFonts w:hint="eastAsia" w:ascii="宋体" w:hAnsi="宋体" w:eastAsia="宋体" w:cs="宋体"/>
          <w:b/>
          <w:bCs/>
          <w:color w:val="auto"/>
          <w:sz w:val="28"/>
          <w:szCs w:val="28"/>
          <w:shd w:val="clear" w:color="auto" w:fill="FFFFFF"/>
          <w:lang w:val="en-US" w:eastAsia="zh-CN"/>
        </w:rPr>
      </w:pPr>
      <w:r>
        <w:rPr>
          <w:rFonts w:hint="eastAsia" w:ascii="宋体" w:hAnsi="宋体" w:eastAsia="宋体" w:cs="宋体"/>
          <w:b/>
          <w:bCs/>
          <w:color w:val="auto"/>
          <w:sz w:val="28"/>
          <w:szCs w:val="28"/>
          <w:shd w:val="clear" w:color="auto" w:fill="FFFFFF"/>
          <w:lang w:val="en-US" w:eastAsia="zh-CN"/>
        </w:rPr>
        <w:t>广西师范大学考点工作的通知</w:t>
      </w:r>
    </w:p>
    <w:p w14:paraId="5C39FFCA">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sz w:val="24"/>
          <w:szCs w:val="24"/>
          <w:lang w:val="en-US" w:eastAsia="zh-CN"/>
        </w:rPr>
      </w:pPr>
    </w:p>
    <w:p w14:paraId="41D23BB4">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各学院（部）、各单位：</w:t>
      </w:r>
    </w:p>
    <w:p w14:paraId="173D1226">
      <w:pPr>
        <w:pStyle w:val="2"/>
        <w:widowControl/>
        <w:shd w:val="clear" w:color="auto" w:fill="FFFFFF"/>
        <w:spacing w:beforeAutospacing="0" w:afterAutospacing="0" w:line="440" w:lineRule="exact"/>
        <w:ind w:firstLine="480" w:firstLineChars="200"/>
        <w:jc w:val="both"/>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根据《自治区招生考试院关于做好</w:t>
      </w:r>
      <w:r>
        <w:rPr>
          <w:rFonts w:hint="eastAsia" w:asciiTheme="minorEastAsia" w:hAnsiTheme="minorEastAsia" w:cstheme="minorEastAsia"/>
          <w:sz w:val="24"/>
          <w:szCs w:val="24"/>
          <w:lang w:val="en-US" w:eastAsia="zh-CN"/>
        </w:rPr>
        <w:t>2026年上半</w:t>
      </w:r>
      <w:r>
        <w:rPr>
          <w:rFonts w:hint="eastAsia" w:asciiTheme="minorEastAsia" w:hAnsiTheme="minorEastAsia" w:eastAsiaTheme="minorEastAsia" w:cstheme="minorEastAsia"/>
          <w:sz w:val="24"/>
          <w:szCs w:val="24"/>
          <w:lang w:val="en-US" w:eastAsia="zh-CN"/>
        </w:rPr>
        <w:t>年中小学教师资格考试笔试考务工作的通知》（桂考院〔202</w:t>
      </w:r>
      <w:r>
        <w:rPr>
          <w:rFonts w:hint="eastAsia" w:asciiTheme="minorEastAsia" w:hAnsiTheme="minorEastAsia" w:cstheme="minorEastAsia"/>
          <w:sz w:val="24"/>
          <w:szCs w:val="24"/>
          <w:lang w:val="en-US" w:eastAsia="zh-CN"/>
        </w:rPr>
        <w:t>6</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cstheme="minorEastAsia"/>
          <w:sz w:val="24"/>
          <w:szCs w:val="24"/>
          <w:lang w:val="en-US" w:eastAsia="zh-CN"/>
        </w:rPr>
        <w:t>21</w:t>
      </w:r>
      <w:r>
        <w:rPr>
          <w:rFonts w:hint="eastAsia" w:asciiTheme="minorEastAsia" w:hAnsiTheme="minorEastAsia" w:eastAsiaTheme="minorEastAsia" w:cstheme="minorEastAsia"/>
          <w:sz w:val="24"/>
          <w:szCs w:val="24"/>
          <w:lang w:val="en-US" w:eastAsia="zh-CN"/>
        </w:rPr>
        <w:t>号）文件要求，</w:t>
      </w:r>
      <w:r>
        <w:rPr>
          <w:rFonts w:hint="eastAsia" w:asciiTheme="minorEastAsia" w:hAnsiTheme="minorEastAsia" w:cstheme="minorEastAsia"/>
          <w:sz w:val="24"/>
          <w:szCs w:val="24"/>
          <w:lang w:val="en-US" w:eastAsia="zh-CN"/>
        </w:rPr>
        <w:t>2026年上半年</w:t>
      </w:r>
      <w:r>
        <w:rPr>
          <w:rFonts w:hint="eastAsia" w:asciiTheme="minorEastAsia" w:hAnsiTheme="minorEastAsia" w:eastAsiaTheme="minorEastAsia" w:cstheme="minorEastAsia"/>
          <w:sz w:val="24"/>
          <w:szCs w:val="24"/>
          <w:lang w:val="en-US" w:eastAsia="zh-CN"/>
        </w:rPr>
        <w:t>中小学教师资格考试笔试</w:t>
      </w:r>
      <w:r>
        <w:rPr>
          <w:rFonts w:hint="eastAsia" w:asciiTheme="minorEastAsia" w:hAnsiTheme="minorEastAsia" w:cstheme="minorEastAsia"/>
          <w:sz w:val="24"/>
          <w:szCs w:val="24"/>
          <w:lang w:val="en-US" w:eastAsia="zh-CN"/>
        </w:rPr>
        <w:t>将于3月7日在我校进行</w:t>
      </w:r>
      <w:r>
        <w:rPr>
          <w:rFonts w:hint="eastAsia" w:asciiTheme="minorEastAsia" w:hAnsiTheme="minorEastAsia" w:eastAsiaTheme="minorEastAsia" w:cstheme="minorEastAsia"/>
          <w:sz w:val="24"/>
          <w:szCs w:val="24"/>
          <w:lang w:val="en-US" w:eastAsia="zh-CN"/>
        </w:rPr>
        <w:t>。为保证此项工作有序、规范</w:t>
      </w:r>
      <w:r>
        <w:rPr>
          <w:rFonts w:hint="eastAsia" w:asciiTheme="minorEastAsia" w:hAnsiTheme="minorEastAsia" w:cstheme="minorEastAsia"/>
          <w:sz w:val="24"/>
          <w:szCs w:val="24"/>
          <w:lang w:val="en-US" w:eastAsia="zh-CN"/>
        </w:rPr>
        <w:t>开展</w:t>
      </w:r>
      <w:r>
        <w:rPr>
          <w:rFonts w:hint="eastAsia" w:asciiTheme="minorEastAsia" w:hAnsiTheme="minorEastAsia" w:eastAsiaTheme="minorEastAsia" w:cstheme="minorEastAsia"/>
          <w:sz w:val="24"/>
          <w:szCs w:val="24"/>
          <w:lang w:val="en-US" w:eastAsia="zh-CN"/>
        </w:rPr>
        <w:t>，确保考试工作的科学、安全、规范、公平、公正，现将有关事项通知如下：</w:t>
      </w:r>
    </w:p>
    <w:p w14:paraId="7CB74F15">
      <w:pPr>
        <w:pStyle w:val="2"/>
        <w:widowControl/>
        <w:shd w:val="clear" w:color="auto" w:fill="FFFFFF"/>
        <w:spacing w:beforeAutospacing="0" w:afterAutospacing="0" w:line="440" w:lineRule="exact"/>
        <w:ind w:firstLine="482" w:firstLineChars="200"/>
        <w:jc w:val="both"/>
        <w:textAlignment w:val="baseline"/>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一、</w:t>
      </w:r>
      <w:r>
        <w:rPr>
          <w:rFonts w:hint="eastAsia" w:asciiTheme="minorEastAsia" w:hAnsiTheme="minorEastAsia" w:eastAsiaTheme="minorEastAsia" w:cstheme="minorEastAsia"/>
          <w:b/>
          <w:bCs/>
          <w:sz w:val="24"/>
          <w:szCs w:val="24"/>
          <w:lang w:val="en-US" w:eastAsia="zh-CN"/>
        </w:rPr>
        <w:t>考试时间和具体安排</w:t>
      </w:r>
    </w:p>
    <w:tbl>
      <w:tblPr>
        <w:tblStyle w:val="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8"/>
        <w:gridCol w:w="2266"/>
        <w:gridCol w:w="2279"/>
        <w:gridCol w:w="2279"/>
      </w:tblGrid>
      <w:tr w14:paraId="463AF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996" w:type="pct"/>
            <w:vMerge w:val="restart"/>
            <w:tcBorders>
              <w:top w:val="single" w:color="auto" w:sz="4" w:space="0"/>
              <w:left w:val="single" w:color="auto" w:sz="4" w:space="0"/>
              <w:bottom w:val="single" w:color="auto" w:sz="4" w:space="0"/>
              <w:right w:val="single" w:color="auto" w:sz="4" w:space="0"/>
            </w:tcBorders>
            <w:noWrap w:val="0"/>
            <w:vAlign w:val="center"/>
          </w:tcPr>
          <w:p w14:paraId="5849D92C">
            <w:pPr>
              <w:keepNext w:val="0"/>
              <w:keepLines w:val="0"/>
              <w:pageBreakBefore w:val="0"/>
              <w:widowControl w:val="0"/>
              <w:kinsoku/>
              <w:wordWrap/>
              <w:overflowPunct/>
              <w:topLinePunct w:val="0"/>
              <w:autoSpaceDE/>
              <w:autoSpaceDN/>
              <w:bidi w:val="0"/>
              <w:adjustRightInd/>
              <w:snapToGrid/>
              <w:spacing w:line="480" w:lineRule="exact"/>
              <w:ind w:firstLine="42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mc:AlternateContent>
                <mc:Choice Requires="wps">
                  <w:drawing>
                    <wp:anchor distT="0" distB="0" distL="114300" distR="114300" simplePos="0" relativeHeight="251659264" behindDoc="0" locked="0" layoutInCell="1" allowOverlap="1">
                      <wp:simplePos x="0" y="0"/>
                      <wp:positionH relativeFrom="column">
                        <wp:posOffset>389255</wp:posOffset>
                      </wp:positionH>
                      <wp:positionV relativeFrom="paragraph">
                        <wp:posOffset>4445</wp:posOffset>
                      </wp:positionV>
                      <wp:extent cx="628650" cy="923925"/>
                      <wp:effectExtent l="3810" t="2540" r="15240" b="6985"/>
                      <wp:wrapNone/>
                      <wp:docPr id="7" name="直接连接符 7"/>
                      <wp:cNvGraphicFramePr/>
                      <a:graphic xmlns:a="http://schemas.openxmlformats.org/drawingml/2006/main">
                        <a:graphicData uri="http://schemas.microsoft.com/office/word/2010/wordprocessingShape">
                          <wps:wsp>
                            <wps:cNvCnPr/>
                            <wps:spPr>
                              <a:xfrm>
                                <a:off x="0" y="0"/>
                                <a:ext cx="628650" cy="923925"/>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30.65pt;margin-top:0.35pt;height:72.75pt;width:49.5pt;z-index:251659264;mso-width-relative:page;mso-height-relative:page;" filled="f" stroked="t" coordsize="21600,21600" o:gfxdata="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MlFMnzU&#10;AAAABwEAAA8AAAAAAAAAAQAgAAAAIgAAAGRycy9kb3ducmV2LnhtbFBLAQIUABQAAAAIAIdO4kAv&#10;2eAd6wEAAMMDAAAOAAAAAAAAAAEAIAAAACMBAABkcnMvZTJvRG9jLnhtbFBLBQYAAAAABgAGAFkB&#10;AACABQAAAAA=&#10;">
                      <v:fill on="f" focussize="0,0"/>
                      <v:stroke weight="0.5pt" color="#000000" miterlimit="8" joinstyle="miter"/>
                      <v:imagedata o:title=""/>
                      <o:lock v:ext="edit" aspectratio="f"/>
                    </v:line>
                  </w:pict>
                </mc:Fallback>
              </mc:AlternateContent>
            </w:r>
            <w:r>
              <w:rPr>
                <w:rFonts w:hint="eastAsia" w:ascii="宋体" w:hAnsi="宋体" w:eastAsia="宋体" w:cs="宋体"/>
                <w:sz w:val="21"/>
                <w:szCs w:val="21"/>
                <w:lang w:val="en-US" w:eastAsia="zh-CN"/>
              </w:rPr>
              <w:t xml:space="preserve">      时间</w:t>
            </w:r>
          </w:p>
          <w:p w14:paraId="61D69687">
            <w:pPr>
              <w:keepNext w:val="0"/>
              <w:keepLines w:val="0"/>
              <w:pageBreakBefore w:val="0"/>
              <w:widowControl w:val="0"/>
              <w:kinsoku/>
              <w:wordWrap/>
              <w:overflowPunct/>
              <w:topLinePunct w:val="0"/>
              <w:autoSpaceDE/>
              <w:autoSpaceDN/>
              <w:bidi w:val="0"/>
              <w:adjustRightInd/>
              <w:snapToGrid/>
              <w:spacing w:line="480" w:lineRule="exact"/>
              <w:ind w:firstLine="420" w:firstLineChars="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194945</wp:posOffset>
                      </wp:positionV>
                      <wp:extent cx="1083310" cy="418465"/>
                      <wp:effectExtent l="1905" t="4445" r="19685" b="15240"/>
                      <wp:wrapNone/>
                      <wp:docPr id="9" name="直接连接符 9"/>
                      <wp:cNvGraphicFramePr/>
                      <a:graphic xmlns:a="http://schemas.openxmlformats.org/drawingml/2006/main">
                        <a:graphicData uri="http://schemas.microsoft.com/office/word/2010/wordprocessingShape">
                          <wps:wsp>
                            <wps:cNvCnPr/>
                            <wps:spPr>
                              <a:xfrm>
                                <a:off x="0" y="0"/>
                                <a:ext cx="1083310" cy="418465"/>
                              </a:xfrm>
                              <a:prstGeom prst="line">
                                <a:avLst/>
                              </a:prstGeom>
                              <a:noFill/>
                              <a:ln w="63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5.35pt;margin-top:15.35pt;height:32.95pt;width:85.3pt;z-index:251660288;mso-width-relative:page;mso-height-relative:page;" filled="f" stroked="t" coordsize="21600,21600" o:gfxdata="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7hP5tcAAAAJAQAADwAAAAAAAAABACAAAAAiAAAAZHJzL2Rvd25yZXYueG1sUEsBAhQAFAAAAAgA&#10;h07iQDW5zlztAQAAxAMAAA4AAAAAAAAAAQAgAAAAJgEAAGRycy9lMm9Eb2MueG1sUEsFBgAAAAAG&#10;AAYAWQEAAIUFAAAAAA==&#10;">
                      <v:fill on="f" focussize="0,0"/>
                      <v:stroke weight="0.5pt" color="#000000" miterlimit="8" joinstyle="miter"/>
                      <v:imagedata o:title=""/>
                      <o:lock v:ext="edit" aspectratio="f"/>
                    </v:line>
                  </w:pict>
                </mc:Fallback>
              </mc:AlternateContent>
            </w:r>
            <w:r>
              <w:rPr>
                <w:rFonts w:hint="eastAsia" w:ascii="宋体" w:hAnsi="宋体" w:eastAsia="宋体" w:cs="宋体"/>
                <w:sz w:val="21"/>
                <w:szCs w:val="21"/>
                <w:lang w:val="en-US" w:eastAsia="zh-CN"/>
              </w:rPr>
              <w:t>科目</w:t>
            </w:r>
          </w:p>
          <w:p w14:paraId="20DD2EDE">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类别</w:t>
            </w:r>
          </w:p>
        </w:tc>
        <w:tc>
          <w:tcPr>
            <w:tcW w:w="1329" w:type="pct"/>
            <w:tcBorders>
              <w:top w:val="single" w:color="auto" w:sz="4" w:space="0"/>
              <w:left w:val="single" w:color="auto" w:sz="4" w:space="0"/>
              <w:bottom w:val="single" w:color="auto" w:sz="4" w:space="0"/>
              <w:right w:val="single" w:color="auto" w:sz="4" w:space="0"/>
            </w:tcBorders>
            <w:noWrap w:val="0"/>
            <w:vAlign w:val="center"/>
          </w:tcPr>
          <w:p w14:paraId="1DF5FF4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上午</w:t>
            </w:r>
          </w:p>
        </w:tc>
        <w:tc>
          <w:tcPr>
            <w:tcW w:w="1337" w:type="pct"/>
            <w:tcBorders>
              <w:top w:val="single" w:color="auto" w:sz="4" w:space="0"/>
              <w:left w:val="single" w:color="auto" w:sz="4" w:space="0"/>
              <w:bottom w:val="single" w:color="auto" w:sz="4" w:space="0"/>
              <w:right w:val="single" w:color="auto" w:sz="4" w:space="0"/>
            </w:tcBorders>
            <w:noWrap w:val="0"/>
            <w:vAlign w:val="center"/>
          </w:tcPr>
          <w:p w14:paraId="5163CA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下午</w:t>
            </w:r>
          </w:p>
        </w:tc>
        <w:tc>
          <w:tcPr>
            <w:tcW w:w="1337" w:type="pct"/>
            <w:tcBorders>
              <w:top w:val="single" w:color="auto" w:sz="4" w:space="0"/>
              <w:left w:val="single" w:color="auto" w:sz="4" w:space="0"/>
              <w:bottom w:val="single" w:color="auto" w:sz="4" w:space="0"/>
              <w:right w:val="single" w:color="auto" w:sz="4" w:space="0"/>
            </w:tcBorders>
            <w:noWrap w:val="0"/>
            <w:vAlign w:val="center"/>
          </w:tcPr>
          <w:p w14:paraId="2CCF18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下午</w:t>
            </w:r>
          </w:p>
        </w:tc>
      </w:tr>
      <w:tr w14:paraId="51191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996" w:type="pct"/>
            <w:vMerge w:val="continue"/>
            <w:tcBorders>
              <w:top w:val="single" w:color="auto" w:sz="4" w:space="0"/>
              <w:left w:val="single" w:color="auto" w:sz="4" w:space="0"/>
              <w:bottom w:val="single" w:color="auto" w:sz="4" w:space="0"/>
              <w:right w:val="single" w:color="auto" w:sz="4" w:space="0"/>
            </w:tcBorders>
            <w:noWrap w:val="0"/>
            <w:vAlign w:val="center"/>
          </w:tcPr>
          <w:p w14:paraId="61A802BE">
            <w:pPr>
              <w:keepNext w:val="0"/>
              <w:keepLines w:val="0"/>
              <w:pageBreakBefore w:val="0"/>
              <w:widowControl w:val="0"/>
              <w:kinsoku/>
              <w:wordWrap/>
              <w:overflowPunct/>
              <w:topLinePunct w:val="0"/>
              <w:autoSpaceDE/>
              <w:autoSpaceDN/>
              <w:bidi w:val="0"/>
              <w:adjustRightInd/>
              <w:snapToGrid/>
              <w:spacing w:line="480" w:lineRule="exact"/>
              <w:ind w:firstLine="420" w:firstLineChars="0"/>
              <w:textAlignment w:val="auto"/>
              <w:rPr>
                <w:rFonts w:hint="eastAsia" w:ascii="宋体" w:hAnsi="宋体" w:eastAsia="宋体" w:cs="宋体"/>
                <w:sz w:val="21"/>
                <w:szCs w:val="21"/>
                <w:lang w:val="en-US" w:eastAsia="zh-CN"/>
              </w:rPr>
            </w:pPr>
          </w:p>
        </w:tc>
        <w:tc>
          <w:tcPr>
            <w:tcW w:w="1329" w:type="pct"/>
            <w:tcBorders>
              <w:top w:val="single" w:color="auto" w:sz="4" w:space="0"/>
              <w:left w:val="single" w:color="auto" w:sz="4" w:space="0"/>
              <w:bottom w:val="single" w:color="auto" w:sz="4" w:space="0"/>
              <w:right w:val="single" w:color="auto" w:sz="4" w:space="0"/>
            </w:tcBorders>
            <w:noWrap w:val="0"/>
            <w:vAlign w:val="center"/>
          </w:tcPr>
          <w:p w14:paraId="11DC91C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9:00-11:00</w:t>
            </w:r>
          </w:p>
        </w:tc>
        <w:tc>
          <w:tcPr>
            <w:tcW w:w="1337" w:type="pct"/>
            <w:tcBorders>
              <w:top w:val="single" w:color="auto" w:sz="4" w:space="0"/>
              <w:left w:val="single" w:color="auto" w:sz="4" w:space="0"/>
              <w:bottom w:val="single" w:color="auto" w:sz="4" w:space="0"/>
              <w:right w:val="single" w:color="auto" w:sz="4" w:space="0"/>
            </w:tcBorders>
            <w:noWrap w:val="0"/>
            <w:vAlign w:val="center"/>
          </w:tcPr>
          <w:p w14:paraId="71228FF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13:00-15:00</w:t>
            </w:r>
          </w:p>
        </w:tc>
        <w:tc>
          <w:tcPr>
            <w:tcW w:w="1337" w:type="pct"/>
            <w:tcBorders>
              <w:top w:val="single" w:color="auto" w:sz="4" w:space="0"/>
              <w:left w:val="single" w:color="auto" w:sz="4" w:space="0"/>
              <w:bottom w:val="single" w:color="auto" w:sz="4" w:space="0"/>
              <w:right w:val="single" w:color="auto" w:sz="4" w:space="0"/>
            </w:tcBorders>
            <w:noWrap w:val="0"/>
            <w:vAlign w:val="center"/>
          </w:tcPr>
          <w:p w14:paraId="0356C37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16:00-18:00</w:t>
            </w:r>
          </w:p>
        </w:tc>
      </w:tr>
      <w:tr w14:paraId="3F3E6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996" w:type="pct"/>
            <w:tcBorders>
              <w:top w:val="single" w:color="auto" w:sz="4" w:space="0"/>
              <w:left w:val="single" w:color="auto" w:sz="4" w:space="0"/>
              <w:bottom w:val="single" w:color="auto" w:sz="4" w:space="0"/>
              <w:right w:val="single" w:color="auto" w:sz="4" w:space="0"/>
            </w:tcBorders>
            <w:noWrap w:val="0"/>
            <w:vAlign w:val="center"/>
          </w:tcPr>
          <w:p w14:paraId="379287A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幼儿园</w:t>
            </w:r>
          </w:p>
        </w:tc>
        <w:tc>
          <w:tcPr>
            <w:tcW w:w="1329" w:type="pct"/>
            <w:tcBorders>
              <w:top w:val="single" w:color="auto" w:sz="4" w:space="0"/>
              <w:left w:val="single" w:color="auto" w:sz="4" w:space="0"/>
              <w:bottom w:val="single" w:color="auto" w:sz="4" w:space="0"/>
              <w:right w:val="single" w:color="auto" w:sz="4" w:space="0"/>
            </w:tcBorders>
            <w:noWrap w:val="0"/>
            <w:vAlign w:val="center"/>
          </w:tcPr>
          <w:p w14:paraId="020A0ED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综合素质（幼儿园）</w:t>
            </w:r>
          </w:p>
          <w:p w14:paraId="76F0868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101</w:t>
            </w:r>
          </w:p>
        </w:tc>
        <w:tc>
          <w:tcPr>
            <w:tcW w:w="1337" w:type="pct"/>
            <w:tcBorders>
              <w:top w:val="single" w:color="auto" w:sz="4" w:space="0"/>
              <w:left w:val="single" w:color="auto" w:sz="4" w:space="0"/>
              <w:bottom w:val="single" w:color="auto" w:sz="4" w:space="0"/>
              <w:right w:val="single" w:color="auto" w:sz="4" w:space="0"/>
            </w:tcBorders>
            <w:noWrap w:val="0"/>
            <w:vAlign w:val="center"/>
          </w:tcPr>
          <w:p w14:paraId="36DF1F5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保教知识与能力</w:t>
            </w:r>
          </w:p>
          <w:p w14:paraId="600E2A8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102</w:t>
            </w:r>
          </w:p>
        </w:tc>
        <w:tc>
          <w:tcPr>
            <w:tcW w:w="1337" w:type="pct"/>
            <w:tcBorders>
              <w:top w:val="single" w:color="auto" w:sz="4" w:space="0"/>
              <w:left w:val="single" w:color="auto" w:sz="4" w:space="0"/>
              <w:bottom w:val="single" w:color="auto" w:sz="4" w:space="0"/>
              <w:right w:val="single" w:color="auto" w:sz="4" w:space="0"/>
            </w:tcBorders>
            <w:noWrap w:val="0"/>
            <w:vAlign w:val="center"/>
          </w:tcPr>
          <w:p w14:paraId="5A2561F7">
            <w:pPr>
              <w:keepNext w:val="0"/>
              <w:keepLines w:val="0"/>
              <w:pageBreakBefore w:val="0"/>
              <w:widowControl w:val="0"/>
              <w:kinsoku/>
              <w:wordWrap/>
              <w:overflowPunct/>
              <w:topLinePunct w:val="0"/>
              <w:autoSpaceDE/>
              <w:autoSpaceDN/>
              <w:bidi w:val="0"/>
              <w:adjustRightInd/>
              <w:snapToGrid/>
              <w:spacing w:line="360" w:lineRule="exact"/>
              <w:ind w:firstLine="420" w:firstLineChars="0"/>
              <w:jc w:val="center"/>
              <w:textAlignment w:val="auto"/>
              <w:rPr>
                <w:rFonts w:hint="eastAsia" w:ascii="宋体" w:hAnsi="宋体" w:eastAsia="宋体" w:cs="宋体"/>
                <w:sz w:val="21"/>
                <w:szCs w:val="21"/>
                <w:lang w:val="en-US" w:eastAsia="zh-CN"/>
              </w:rPr>
            </w:pPr>
          </w:p>
        </w:tc>
      </w:tr>
      <w:tr w14:paraId="08B92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6" w:type="pct"/>
            <w:tcBorders>
              <w:top w:val="single" w:color="auto" w:sz="4" w:space="0"/>
              <w:left w:val="single" w:color="auto" w:sz="4" w:space="0"/>
              <w:bottom w:val="single" w:color="auto" w:sz="4" w:space="0"/>
              <w:right w:val="single" w:color="auto" w:sz="4" w:space="0"/>
            </w:tcBorders>
            <w:noWrap w:val="0"/>
            <w:vAlign w:val="center"/>
          </w:tcPr>
          <w:p w14:paraId="58C5106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小学</w:t>
            </w:r>
          </w:p>
        </w:tc>
        <w:tc>
          <w:tcPr>
            <w:tcW w:w="1329" w:type="pct"/>
            <w:tcBorders>
              <w:top w:val="single" w:color="auto" w:sz="4" w:space="0"/>
              <w:left w:val="single" w:color="auto" w:sz="4" w:space="0"/>
              <w:bottom w:val="single" w:color="auto" w:sz="4" w:space="0"/>
              <w:right w:val="single" w:color="auto" w:sz="4" w:space="0"/>
            </w:tcBorders>
            <w:noWrap w:val="0"/>
            <w:vAlign w:val="center"/>
          </w:tcPr>
          <w:p w14:paraId="46ECDA1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综合素质（小学）</w:t>
            </w:r>
          </w:p>
          <w:p w14:paraId="7875869D">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201和201A</w:t>
            </w:r>
          </w:p>
        </w:tc>
        <w:tc>
          <w:tcPr>
            <w:tcW w:w="1337" w:type="pct"/>
            <w:tcBorders>
              <w:top w:val="single" w:color="auto" w:sz="4" w:space="0"/>
              <w:left w:val="single" w:color="auto" w:sz="4" w:space="0"/>
              <w:bottom w:val="single" w:color="auto" w:sz="4" w:space="0"/>
              <w:right w:val="single" w:color="auto" w:sz="4" w:space="0"/>
            </w:tcBorders>
            <w:noWrap w:val="0"/>
            <w:vAlign w:val="center"/>
          </w:tcPr>
          <w:p w14:paraId="553D384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教育教学知识与能力</w:t>
            </w:r>
          </w:p>
          <w:p w14:paraId="68562FD1">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202和202A</w:t>
            </w:r>
          </w:p>
        </w:tc>
        <w:tc>
          <w:tcPr>
            <w:tcW w:w="1337" w:type="pct"/>
            <w:tcBorders>
              <w:top w:val="single" w:color="auto" w:sz="4" w:space="0"/>
              <w:left w:val="single" w:color="auto" w:sz="4" w:space="0"/>
              <w:bottom w:val="single" w:color="auto" w:sz="4" w:space="0"/>
              <w:right w:val="single" w:color="auto" w:sz="4" w:space="0"/>
            </w:tcBorders>
            <w:noWrap w:val="0"/>
            <w:vAlign w:val="center"/>
          </w:tcPr>
          <w:p w14:paraId="3075BCE3">
            <w:pPr>
              <w:keepNext w:val="0"/>
              <w:keepLines w:val="0"/>
              <w:pageBreakBefore w:val="0"/>
              <w:widowControl w:val="0"/>
              <w:kinsoku/>
              <w:wordWrap/>
              <w:overflowPunct/>
              <w:topLinePunct w:val="0"/>
              <w:autoSpaceDE/>
              <w:autoSpaceDN/>
              <w:bidi w:val="0"/>
              <w:adjustRightInd/>
              <w:snapToGrid/>
              <w:spacing w:line="360" w:lineRule="exact"/>
              <w:ind w:firstLine="420" w:firstLineChars="0"/>
              <w:jc w:val="center"/>
              <w:textAlignment w:val="auto"/>
              <w:rPr>
                <w:rFonts w:hint="eastAsia" w:ascii="宋体" w:hAnsi="宋体" w:eastAsia="宋体" w:cs="宋体"/>
                <w:sz w:val="21"/>
                <w:szCs w:val="21"/>
                <w:lang w:val="en-US" w:eastAsia="zh-CN"/>
              </w:rPr>
            </w:pPr>
          </w:p>
        </w:tc>
      </w:tr>
      <w:tr w14:paraId="085CE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996" w:type="pct"/>
            <w:tcBorders>
              <w:top w:val="single" w:color="auto" w:sz="4" w:space="0"/>
              <w:left w:val="single" w:color="auto" w:sz="4" w:space="0"/>
              <w:bottom w:val="single" w:color="auto" w:sz="4" w:space="0"/>
              <w:right w:val="single" w:color="auto" w:sz="4" w:space="0"/>
            </w:tcBorders>
            <w:noWrap w:val="0"/>
            <w:vAlign w:val="center"/>
          </w:tcPr>
          <w:p w14:paraId="0194162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初级中学</w:t>
            </w:r>
          </w:p>
        </w:tc>
        <w:tc>
          <w:tcPr>
            <w:tcW w:w="1329" w:type="pct"/>
            <w:vMerge w:val="restart"/>
            <w:tcBorders>
              <w:top w:val="single" w:color="auto" w:sz="4" w:space="0"/>
              <w:left w:val="single" w:color="auto" w:sz="4" w:space="0"/>
              <w:right w:val="single" w:color="auto" w:sz="4" w:space="0"/>
            </w:tcBorders>
            <w:noWrap w:val="0"/>
            <w:vAlign w:val="center"/>
          </w:tcPr>
          <w:p w14:paraId="0638459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综合素质（中学）</w:t>
            </w:r>
          </w:p>
          <w:p w14:paraId="4335AC24">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301和301A</w:t>
            </w:r>
          </w:p>
        </w:tc>
        <w:tc>
          <w:tcPr>
            <w:tcW w:w="1337" w:type="pct"/>
            <w:vMerge w:val="restart"/>
            <w:tcBorders>
              <w:top w:val="single" w:color="auto" w:sz="4" w:space="0"/>
              <w:left w:val="single" w:color="auto" w:sz="4" w:space="0"/>
              <w:right w:val="single" w:color="auto" w:sz="4" w:space="0"/>
            </w:tcBorders>
            <w:noWrap w:val="0"/>
            <w:vAlign w:val="center"/>
          </w:tcPr>
          <w:p w14:paraId="45B589D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教育知识与能力</w:t>
            </w:r>
          </w:p>
          <w:p w14:paraId="4C659DA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302和302A</w:t>
            </w:r>
          </w:p>
        </w:tc>
        <w:tc>
          <w:tcPr>
            <w:tcW w:w="1337" w:type="pct"/>
            <w:tcBorders>
              <w:top w:val="single" w:color="auto" w:sz="4" w:space="0"/>
              <w:left w:val="single" w:color="auto" w:sz="4" w:space="0"/>
              <w:bottom w:val="single" w:color="auto" w:sz="4" w:space="0"/>
              <w:right w:val="single" w:color="auto" w:sz="4" w:space="0"/>
            </w:tcBorders>
            <w:noWrap w:val="0"/>
            <w:vAlign w:val="center"/>
          </w:tcPr>
          <w:p w14:paraId="33A2A54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学科知识与教学能力</w:t>
            </w:r>
          </w:p>
          <w:p w14:paraId="001275C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303—317</w:t>
            </w:r>
          </w:p>
        </w:tc>
      </w:tr>
      <w:tr w14:paraId="1C310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6" w:type="pct"/>
            <w:tcBorders>
              <w:top w:val="single" w:color="auto" w:sz="4" w:space="0"/>
              <w:left w:val="single" w:color="auto" w:sz="4" w:space="0"/>
              <w:bottom w:val="single" w:color="auto" w:sz="4" w:space="0"/>
              <w:right w:val="single" w:color="auto" w:sz="4" w:space="0"/>
            </w:tcBorders>
            <w:noWrap w:val="0"/>
            <w:vAlign w:val="center"/>
          </w:tcPr>
          <w:p w14:paraId="2D98E999">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高级中学</w:t>
            </w:r>
          </w:p>
        </w:tc>
        <w:tc>
          <w:tcPr>
            <w:tcW w:w="1329" w:type="pct"/>
            <w:vMerge w:val="continue"/>
            <w:tcBorders>
              <w:left w:val="single" w:color="auto" w:sz="4" w:space="0"/>
              <w:right w:val="single" w:color="auto" w:sz="4" w:space="0"/>
            </w:tcBorders>
            <w:noWrap w:val="0"/>
            <w:vAlign w:val="center"/>
          </w:tcPr>
          <w:p w14:paraId="6E198456">
            <w:pPr>
              <w:keepNext w:val="0"/>
              <w:keepLines w:val="0"/>
              <w:pageBreakBefore w:val="0"/>
              <w:widowControl w:val="0"/>
              <w:kinsoku/>
              <w:wordWrap/>
              <w:overflowPunct/>
              <w:topLinePunct w:val="0"/>
              <w:autoSpaceDE/>
              <w:autoSpaceDN/>
              <w:bidi w:val="0"/>
              <w:adjustRightInd/>
              <w:snapToGrid/>
              <w:spacing w:line="360" w:lineRule="exact"/>
              <w:ind w:firstLine="420" w:firstLineChars="0"/>
              <w:jc w:val="center"/>
              <w:textAlignment w:val="auto"/>
              <w:rPr>
                <w:rFonts w:hint="eastAsia" w:ascii="宋体" w:hAnsi="宋体" w:eastAsia="宋体" w:cs="宋体"/>
                <w:sz w:val="21"/>
                <w:szCs w:val="21"/>
                <w:lang w:val="en-US" w:eastAsia="zh-CN"/>
              </w:rPr>
            </w:pPr>
          </w:p>
        </w:tc>
        <w:tc>
          <w:tcPr>
            <w:tcW w:w="1337" w:type="pct"/>
            <w:vMerge w:val="continue"/>
            <w:tcBorders>
              <w:left w:val="single" w:color="auto" w:sz="4" w:space="0"/>
              <w:right w:val="single" w:color="auto" w:sz="4" w:space="0"/>
            </w:tcBorders>
            <w:noWrap w:val="0"/>
            <w:vAlign w:val="center"/>
          </w:tcPr>
          <w:p w14:paraId="0492DA2A">
            <w:pPr>
              <w:keepNext w:val="0"/>
              <w:keepLines w:val="0"/>
              <w:pageBreakBefore w:val="0"/>
              <w:widowControl w:val="0"/>
              <w:kinsoku/>
              <w:wordWrap/>
              <w:overflowPunct/>
              <w:topLinePunct w:val="0"/>
              <w:autoSpaceDE/>
              <w:autoSpaceDN/>
              <w:bidi w:val="0"/>
              <w:adjustRightInd/>
              <w:snapToGrid/>
              <w:spacing w:line="360" w:lineRule="exact"/>
              <w:ind w:firstLine="420" w:firstLineChars="0"/>
              <w:jc w:val="center"/>
              <w:textAlignment w:val="auto"/>
              <w:rPr>
                <w:rFonts w:hint="eastAsia" w:ascii="宋体" w:hAnsi="宋体" w:eastAsia="宋体" w:cs="宋体"/>
                <w:sz w:val="21"/>
                <w:szCs w:val="21"/>
                <w:lang w:val="en-US" w:eastAsia="zh-CN"/>
              </w:rPr>
            </w:pPr>
          </w:p>
        </w:tc>
        <w:tc>
          <w:tcPr>
            <w:tcW w:w="1337" w:type="pct"/>
            <w:vMerge w:val="restart"/>
            <w:tcBorders>
              <w:top w:val="single" w:color="auto" w:sz="4" w:space="0"/>
              <w:left w:val="single" w:color="auto" w:sz="4" w:space="0"/>
              <w:bottom w:val="single" w:color="auto" w:sz="4" w:space="0"/>
              <w:right w:val="single" w:color="auto" w:sz="4" w:space="0"/>
            </w:tcBorders>
            <w:noWrap w:val="0"/>
            <w:vAlign w:val="center"/>
          </w:tcPr>
          <w:p w14:paraId="3BB8813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学科知识与教学能力</w:t>
            </w:r>
          </w:p>
          <w:p w14:paraId="2C72DE4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403—415、418</w:t>
            </w:r>
          </w:p>
        </w:tc>
      </w:tr>
      <w:tr w14:paraId="5287D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6" w:type="pct"/>
            <w:tcBorders>
              <w:top w:val="single" w:color="auto" w:sz="4" w:space="0"/>
              <w:left w:val="single" w:color="auto" w:sz="4" w:space="0"/>
              <w:bottom w:val="single" w:color="auto" w:sz="4" w:space="0"/>
              <w:right w:val="single" w:color="auto" w:sz="4" w:space="0"/>
            </w:tcBorders>
            <w:noWrap w:val="0"/>
            <w:vAlign w:val="center"/>
          </w:tcPr>
          <w:p w14:paraId="2A02386A">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中职文化课</w:t>
            </w:r>
          </w:p>
        </w:tc>
        <w:tc>
          <w:tcPr>
            <w:tcW w:w="1329" w:type="pct"/>
            <w:vMerge w:val="continue"/>
            <w:tcBorders>
              <w:left w:val="single" w:color="auto" w:sz="4" w:space="0"/>
              <w:bottom w:val="single" w:color="auto" w:sz="4" w:space="0"/>
              <w:right w:val="single" w:color="auto" w:sz="4" w:space="0"/>
            </w:tcBorders>
            <w:noWrap w:val="0"/>
            <w:vAlign w:val="center"/>
          </w:tcPr>
          <w:p w14:paraId="2AF179CC">
            <w:pPr>
              <w:keepNext w:val="0"/>
              <w:keepLines w:val="0"/>
              <w:pageBreakBefore w:val="0"/>
              <w:widowControl w:val="0"/>
              <w:kinsoku/>
              <w:wordWrap/>
              <w:overflowPunct/>
              <w:topLinePunct w:val="0"/>
              <w:autoSpaceDE/>
              <w:autoSpaceDN/>
              <w:bidi w:val="0"/>
              <w:adjustRightInd/>
              <w:snapToGrid/>
              <w:spacing w:line="360" w:lineRule="exact"/>
              <w:ind w:firstLine="420" w:firstLineChars="0"/>
              <w:jc w:val="center"/>
              <w:textAlignment w:val="auto"/>
              <w:rPr>
                <w:rFonts w:hint="eastAsia" w:ascii="宋体" w:hAnsi="宋体" w:eastAsia="宋体" w:cs="宋体"/>
                <w:sz w:val="21"/>
                <w:szCs w:val="21"/>
                <w:lang w:val="en-US" w:eastAsia="zh-CN"/>
              </w:rPr>
            </w:pPr>
          </w:p>
        </w:tc>
        <w:tc>
          <w:tcPr>
            <w:tcW w:w="1337" w:type="pct"/>
            <w:vMerge w:val="continue"/>
            <w:tcBorders>
              <w:left w:val="single" w:color="auto" w:sz="4" w:space="0"/>
              <w:bottom w:val="single" w:color="auto" w:sz="4" w:space="0"/>
              <w:right w:val="single" w:color="auto" w:sz="4" w:space="0"/>
            </w:tcBorders>
            <w:noWrap w:val="0"/>
            <w:vAlign w:val="center"/>
          </w:tcPr>
          <w:p w14:paraId="7C3BFE49">
            <w:pPr>
              <w:keepNext w:val="0"/>
              <w:keepLines w:val="0"/>
              <w:pageBreakBefore w:val="0"/>
              <w:widowControl w:val="0"/>
              <w:kinsoku/>
              <w:wordWrap/>
              <w:overflowPunct/>
              <w:topLinePunct w:val="0"/>
              <w:autoSpaceDE/>
              <w:autoSpaceDN/>
              <w:bidi w:val="0"/>
              <w:adjustRightInd/>
              <w:snapToGrid/>
              <w:spacing w:line="360" w:lineRule="exact"/>
              <w:ind w:firstLine="420" w:firstLineChars="0"/>
              <w:jc w:val="center"/>
              <w:textAlignment w:val="auto"/>
              <w:rPr>
                <w:rFonts w:hint="eastAsia" w:ascii="宋体" w:hAnsi="宋体" w:eastAsia="宋体" w:cs="宋体"/>
                <w:sz w:val="21"/>
                <w:szCs w:val="21"/>
                <w:lang w:val="en-US" w:eastAsia="zh-CN"/>
              </w:rPr>
            </w:pPr>
          </w:p>
        </w:tc>
        <w:tc>
          <w:tcPr>
            <w:tcW w:w="1337" w:type="pct"/>
            <w:vMerge w:val="continue"/>
            <w:tcBorders>
              <w:top w:val="single" w:color="auto" w:sz="4" w:space="0"/>
              <w:left w:val="single" w:color="auto" w:sz="4" w:space="0"/>
              <w:bottom w:val="single" w:color="auto" w:sz="4" w:space="0"/>
              <w:right w:val="single" w:color="auto" w:sz="4" w:space="0"/>
            </w:tcBorders>
            <w:noWrap w:val="0"/>
            <w:vAlign w:val="center"/>
          </w:tcPr>
          <w:p w14:paraId="7900306C">
            <w:pPr>
              <w:keepNext w:val="0"/>
              <w:keepLines w:val="0"/>
              <w:pageBreakBefore w:val="0"/>
              <w:widowControl w:val="0"/>
              <w:kinsoku/>
              <w:wordWrap/>
              <w:overflowPunct/>
              <w:topLinePunct w:val="0"/>
              <w:autoSpaceDE/>
              <w:autoSpaceDN/>
              <w:bidi w:val="0"/>
              <w:adjustRightInd/>
              <w:snapToGrid/>
              <w:spacing w:line="360" w:lineRule="exact"/>
              <w:ind w:firstLine="420" w:firstLineChars="0"/>
              <w:jc w:val="center"/>
              <w:textAlignment w:val="auto"/>
              <w:rPr>
                <w:rFonts w:hint="eastAsia" w:ascii="宋体" w:hAnsi="宋体" w:eastAsia="宋体" w:cs="宋体"/>
                <w:sz w:val="21"/>
                <w:szCs w:val="21"/>
                <w:lang w:val="en-US" w:eastAsia="zh-CN"/>
              </w:rPr>
            </w:pPr>
          </w:p>
        </w:tc>
      </w:tr>
      <w:tr w14:paraId="62643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6" w:type="pct"/>
            <w:tcBorders>
              <w:top w:val="single" w:color="auto" w:sz="4" w:space="0"/>
              <w:left w:val="single" w:color="auto" w:sz="4" w:space="0"/>
              <w:bottom w:val="single" w:color="auto" w:sz="4" w:space="0"/>
              <w:right w:val="single" w:color="auto" w:sz="4" w:space="0"/>
            </w:tcBorders>
            <w:noWrap w:val="0"/>
            <w:vAlign w:val="center"/>
          </w:tcPr>
          <w:p w14:paraId="32E1FBA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中职专业课</w:t>
            </w:r>
          </w:p>
        </w:tc>
        <w:tc>
          <w:tcPr>
            <w:tcW w:w="1329" w:type="pct"/>
            <w:vMerge w:val="restart"/>
            <w:tcBorders>
              <w:top w:val="single" w:color="auto" w:sz="4" w:space="0"/>
              <w:left w:val="single" w:color="auto" w:sz="4" w:space="0"/>
              <w:right w:val="single" w:color="auto" w:sz="4" w:space="0"/>
            </w:tcBorders>
            <w:noWrap w:val="0"/>
            <w:vAlign w:val="center"/>
          </w:tcPr>
          <w:p w14:paraId="669FEC2E">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综合素质（中学）</w:t>
            </w:r>
          </w:p>
          <w:p w14:paraId="0E23311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301</w:t>
            </w:r>
          </w:p>
        </w:tc>
        <w:tc>
          <w:tcPr>
            <w:tcW w:w="1337" w:type="pct"/>
            <w:vMerge w:val="restart"/>
            <w:tcBorders>
              <w:top w:val="single" w:color="auto" w:sz="4" w:space="0"/>
              <w:left w:val="single" w:color="auto" w:sz="4" w:space="0"/>
              <w:right w:val="single" w:color="auto" w:sz="4" w:space="0"/>
            </w:tcBorders>
            <w:noWrap w:val="0"/>
            <w:vAlign w:val="center"/>
          </w:tcPr>
          <w:p w14:paraId="63CF673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教育知识与能力</w:t>
            </w:r>
          </w:p>
          <w:p w14:paraId="20C75AE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302</w:t>
            </w:r>
          </w:p>
        </w:tc>
        <w:tc>
          <w:tcPr>
            <w:tcW w:w="1337" w:type="pct"/>
            <w:vMerge w:val="restart"/>
            <w:tcBorders>
              <w:top w:val="single" w:color="auto" w:sz="4" w:space="0"/>
              <w:left w:val="single" w:color="auto" w:sz="4" w:space="0"/>
              <w:right w:val="single" w:color="auto" w:sz="4" w:space="0"/>
            </w:tcBorders>
            <w:noWrap w:val="0"/>
            <w:vAlign w:val="center"/>
          </w:tcPr>
          <w:p w14:paraId="3C8C08CB">
            <w:pPr>
              <w:keepNext w:val="0"/>
              <w:keepLines w:val="0"/>
              <w:pageBreakBefore w:val="0"/>
              <w:widowControl w:val="0"/>
              <w:kinsoku/>
              <w:wordWrap/>
              <w:overflowPunct/>
              <w:topLinePunct w:val="0"/>
              <w:autoSpaceDE/>
              <w:autoSpaceDN/>
              <w:bidi w:val="0"/>
              <w:adjustRightInd/>
              <w:snapToGrid/>
              <w:spacing w:line="360" w:lineRule="exact"/>
              <w:ind w:firstLine="420" w:firstLineChars="0"/>
              <w:jc w:val="center"/>
              <w:textAlignment w:val="auto"/>
              <w:rPr>
                <w:rFonts w:hint="eastAsia" w:ascii="宋体" w:hAnsi="宋体" w:eastAsia="宋体" w:cs="宋体"/>
                <w:sz w:val="21"/>
                <w:szCs w:val="21"/>
                <w:lang w:val="en-US" w:eastAsia="zh-CN"/>
              </w:rPr>
            </w:pPr>
          </w:p>
        </w:tc>
      </w:tr>
      <w:tr w14:paraId="6E04D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96" w:type="pct"/>
            <w:tcBorders>
              <w:top w:val="single" w:color="auto" w:sz="4" w:space="0"/>
              <w:left w:val="single" w:color="auto" w:sz="4" w:space="0"/>
              <w:bottom w:val="single" w:color="auto" w:sz="4" w:space="0"/>
              <w:right w:val="single" w:color="auto" w:sz="4" w:space="0"/>
            </w:tcBorders>
            <w:noWrap w:val="0"/>
            <w:vAlign w:val="center"/>
          </w:tcPr>
          <w:p w14:paraId="56EEADC0">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中职实习指导</w:t>
            </w:r>
          </w:p>
        </w:tc>
        <w:tc>
          <w:tcPr>
            <w:tcW w:w="1329" w:type="pct"/>
            <w:vMerge w:val="continue"/>
            <w:tcBorders>
              <w:left w:val="single" w:color="auto" w:sz="4" w:space="0"/>
              <w:bottom w:val="single" w:color="auto" w:sz="4" w:space="0"/>
              <w:right w:val="single" w:color="auto" w:sz="4" w:space="0"/>
            </w:tcBorders>
            <w:noWrap w:val="0"/>
            <w:vAlign w:val="center"/>
          </w:tcPr>
          <w:p w14:paraId="56102761">
            <w:pPr>
              <w:spacing w:line="400" w:lineRule="exact"/>
              <w:rPr>
                <w:rFonts w:hint="eastAsia" w:ascii="宋体" w:hAnsi="宋体" w:eastAsia="宋体" w:cs="宋体"/>
                <w:snapToGrid w:val="0"/>
                <w:sz w:val="21"/>
                <w:szCs w:val="21"/>
              </w:rPr>
            </w:pPr>
          </w:p>
        </w:tc>
        <w:tc>
          <w:tcPr>
            <w:tcW w:w="1337" w:type="pct"/>
            <w:vMerge w:val="continue"/>
            <w:tcBorders>
              <w:left w:val="single" w:color="auto" w:sz="4" w:space="0"/>
              <w:bottom w:val="single" w:color="auto" w:sz="4" w:space="0"/>
              <w:right w:val="single" w:color="auto" w:sz="4" w:space="0"/>
            </w:tcBorders>
            <w:noWrap w:val="0"/>
            <w:vAlign w:val="center"/>
          </w:tcPr>
          <w:p w14:paraId="5424E086">
            <w:pPr>
              <w:spacing w:line="400" w:lineRule="exact"/>
              <w:rPr>
                <w:rFonts w:hint="eastAsia" w:ascii="宋体" w:hAnsi="宋体" w:eastAsia="宋体" w:cs="宋体"/>
                <w:snapToGrid w:val="0"/>
                <w:sz w:val="21"/>
                <w:szCs w:val="21"/>
              </w:rPr>
            </w:pPr>
          </w:p>
        </w:tc>
        <w:tc>
          <w:tcPr>
            <w:tcW w:w="1337" w:type="pct"/>
            <w:vMerge w:val="continue"/>
            <w:tcBorders>
              <w:left w:val="single" w:color="auto" w:sz="4" w:space="0"/>
              <w:bottom w:val="single" w:color="auto" w:sz="4" w:space="0"/>
              <w:right w:val="single" w:color="auto" w:sz="4" w:space="0"/>
            </w:tcBorders>
            <w:noWrap w:val="0"/>
            <w:vAlign w:val="center"/>
          </w:tcPr>
          <w:p w14:paraId="041953A6">
            <w:pPr>
              <w:spacing w:line="400" w:lineRule="exact"/>
              <w:rPr>
                <w:rFonts w:hint="eastAsia" w:ascii="宋体" w:hAnsi="宋体" w:eastAsia="宋体" w:cs="宋体"/>
                <w:snapToGrid w:val="0"/>
                <w:sz w:val="21"/>
                <w:szCs w:val="21"/>
              </w:rPr>
            </w:pPr>
          </w:p>
        </w:tc>
      </w:tr>
    </w:tbl>
    <w:p w14:paraId="418C8D8B">
      <w:pPr>
        <w:pStyle w:val="2"/>
        <w:widowControl/>
        <w:shd w:val="clear" w:color="auto" w:fill="FFFFFF"/>
        <w:spacing w:beforeAutospacing="0" w:afterAutospacing="0" w:line="440" w:lineRule="exact"/>
        <w:ind w:firstLine="482" w:firstLineChars="200"/>
        <w:jc w:val="both"/>
        <w:textAlignment w:val="baseline"/>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二、</w:t>
      </w:r>
      <w:r>
        <w:rPr>
          <w:rFonts w:hint="eastAsia" w:asciiTheme="minorEastAsia" w:hAnsiTheme="minorEastAsia" w:eastAsiaTheme="minorEastAsia" w:cstheme="minorEastAsia"/>
          <w:b/>
          <w:bCs/>
          <w:sz w:val="24"/>
          <w:szCs w:val="24"/>
          <w:lang w:val="en-US" w:eastAsia="zh-CN"/>
        </w:rPr>
        <w:t>组织</w:t>
      </w:r>
      <w:r>
        <w:rPr>
          <w:rFonts w:hint="eastAsia" w:asciiTheme="minorEastAsia" w:hAnsiTheme="minorEastAsia" w:cstheme="minorEastAsia"/>
          <w:b/>
          <w:bCs/>
          <w:sz w:val="24"/>
          <w:szCs w:val="24"/>
          <w:lang w:val="en-US" w:eastAsia="zh-CN"/>
        </w:rPr>
        <w:t>机</w:t>
      </w:r>
      <w:r>
        <w:rPr>
          <w:rFonts w:hint="eastAsia" w:asciiTheme="minorEastAsia" w:hAnsiTheme="minorEastAsia" w:eastAsiaTheme="minorEastAsia" w:cstheme="minorEastAsia"/>
          <w:b/>
          <w:bCs/>
          <w:sz w:val="24"/>
          <w:szCs w:val="24"/>
          <w:lang w:val="en-US" w:eastAsia="zh-CN"/>
        </w:rPr>
        <w:t>构</w:t>
      </w:r>
    </w:p>
    <w:p w14:paraId="35085A29">
      <w:pPr>
        <w:pStyle w:val="2"/>
        <w:widowControl/>
        <w:shd w:val="clear" w:color="auto" w:fill="FFFFFF"/>
        <w:spacing w:beforeAutospacing="0" w:afterAutospacing="0" w:line="440" w:lineRule="exact"/>
        <w:ind w:firstLine="480" w:firstLineChars="200"/>
        <w:jc w:val="both"/>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为加强指导，推进工作扎实开展，学校成立</w:t>
      </w:r>
      <w:r>
        <w:rPr>
          <w:rFonts w:hint="eastAsia" w:asciiTheme="minorEastAsia" w:hAnsiTheme="minorEastAsia" w:cstheme="minorEastAsia"/>
          <w:sz w:val="24"/>
          <w:szCs w:val="24"/>
          <w:lang w:val="en-US" w:eastAsia="zh-CN"/>
        </w:rPr>
        <w:t>2026年</w:t>
      </w:r>
      <w:r>
        <w:rPr>
          <w:rFonts w:hint="eastAsia" w:asciiTheme="minorEastAsia" w:hAnsiTheme="minorEastAsia" w:eastAsiaTheme="minorEastAsia" w:cstheme="minorEastAsia"/>
          <w:sz w:val="24"/>
          <w:szCs w:val="24"/>
          <w:lang w:val="en-US" w:eastAsia="zh-CN"/>
        </w:rPr>
        <w:t>上半年全国中小学教师资格考试笔试工作领导小组。具体成员名单如下：</w:t>
      </w:r>
    </w:p>
    <w:p w14:paraId="0930586F">
      <w:pPr>
        <w:pStyle w:val="2"/>
        <w:widowControl/>
        <w:shd w:val="clear" w:color="auto" w:fill="FFFFFF"/>
        <w:spacing w:beforeAutospacing="0" w:afterAutospacing="0" w:line="440" w:lineRule="exact"/>
        <w:ind w:firstLine="480" w:firstLineChars="200"/>
        <w:jc w:val="both"/>
        <w:textAlignment w:val="baseline"/>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组  长：黄晓娟</w:t>
      </w:r>
    </w:p>
    <w:p w14:paraId="1EAEACC0">
      <w:pPr>
        <w:pStyle w:val="2"/>
        <w:widowControl/>
        <w:shd w:val="clear" w:color="auto" w:fill="FFFFFF"/>
        <w:spacing w:beforeAutospacing="0" w:afterAutospacing="0" w:line="440" w:lineRule="exact"/>
        <w:ind w:firstLine="480" w:firstLineChars="200"/>
        <w:jc w:val="both"/>
        <w:textAlignment w:val="baseline"/>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副组长：黄  令</w:t>
      </w:r>
    </w:p>
    <w:p w14:paraId="1036D57F">
      <w:pPr>
        <w:pStyle w:val="2"/>
        <w:widowControl/>
        <w:shd w:val="clear" w:color="auto" w:fill="FFFFFF"/>
        <w:spacing w:beforeAutospacing="0" w:afterAutospacing="0" w:line="440" w:lineRule="exact"/>
        <w:ind w:firstLine="480" w:firstLineChars="200"/>
        <w:jc w:val="both"/>
        <w:textAlignment w:val="baseline"/>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成  员：何广寿   黄权标   韦永志   章冬兰   蒙新华</w:t>
      </w:r>
      <w:r>
        <w:rPr>
          <w:rFonts w:hint="eastAsia" w:asciiTheme="minorEastAsia" w:hAnsiTheme="minorEastAsia" w:eastAsiaTheme="minorEastAsia" w:cstheme="minorEastAsia"/>
          <w:sz w:val="24"/>
          <w:szCs w:val="24"/>
          <w:lang w:val="en-US" w:eastAsia="zh-CN"/>
        </w:rPr>
        <w:t xml:space="preserve">   蒲智勇 </w:t>
      </w:r>
    </w:p>
    <w:p w14:paraId="7F4AD8F7">
      <w:pPr>
        <w:pStyle w:val="2"/>
        <w:widowControl/>
        <w:shd w:val="clear" w:color="auto" w:fill="FFFFFF"/>
        <w:spacing w:beforeAutospacing="0" w:afterAutospacing="0" w:line="440" w:lineRule="exact"/>
        <w:ind w:firstLine="480" w:firstLineChars="200"/>
        <w:jc w:val="both"/>
        <w:textAlignment w:val="baseline"/>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秘  书：谢翠雪</w:t>
      </w:r>
      <w:bookmarkStart w:id="0" w:name="_GoBack"/>
      <w:bookmarkEnd w:id="0"/>
    </w:p>
    <w:p w14:paraId="00CA077C">
      <w:pPr>
        <w:pStyle w:val="2"/>
        <w:widowControl/>
        <w:shd w:val="clear" w:color="auto" w:fill="FFFFFF"/>
        <w:spacing w:beforeAutospacing="0" w:afterAutospacing="0" w:line="440" w:lineRule="exact"/>
        <w:ind w:firstLine="480" w:firstLineChars="200"/>
        <w:jc w:val="both"/>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领导小组下设考务办公室、各考区考务负责人两个工作机构。</w:t>
      </w:r>
    </w:p>
    <w:p w14:paraId="3E5B528D">
      <w:pPr>
        <w:pStyle w:val="2"/>
        <w:widowControl/>
        <w:shd w:val="clear" w:color="auto" w:fill="FFFFFF"/>
        <w:spacing w:beforeAutospacing="0" w:afterAutospacing="0" w:line="440" w:lineRule="exact"/>
        <w:ind w:firstLine="480" w:firstLineChars="200"/>
        <w:jc w:val="both"/>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（一）考务办公室</w:t>
      </w:r>
    </w:p>
    <w:p w14:paraId="34F38FEF">
      <w:pPr>
        <w:pStyle w:val="2"/>
        <w:widowControl/>
        <w:shd w:val="clear" w:color="auto" w:fill="FFFFFF"/>
        <w:spacing w:beforeAutospacing="0" w:afterAutospacing="0" w:line="440" w:lineRule="exact"/>
        <w:ind w:firstLine="480" w:firstLineChars="200"/>
        <w:jc w:val="both"/>
        <w:textAlignment w:val="baseline"/>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主  任：蒲智勇</w:t>
      </w:r>
    </w:p>
    <w:p w14:paraId="61DC7587">
      <w:pPr>
        <w:pStyle w:val="2"/>
        <w:widowControl/>
        <w:shd w:val="clear" w:color="auto" w:fill="FFFFFF"/>
        <w:spacing w:beforeAutospacing="0" w:afterAutospacing="0" w:line="440" w:lineRule="exact"/>
        <w:ind w:firstLine="480" w:firstLineChars="200"/>
        <w:jc w:val="both"/>
        <w:textAlignment w:val="baseline"/>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秘  书：谢翠雪</w:t>
      </w:r>
    </w:p>
    <w:p w14:paraId="5939F2DB">
      <w:pPr>
        <w:pStyle w:val="2"/>
        <w:widowControl/>
        <w:shd w:val="clear" w:color="auto" w:fill="FFFFFF"/>
        <w:spacing w:beforeAutospacing="0" w:afterAutospacing="0" w:line="440" w:lineRule="exact"/>
        <w:ind w:firstLine="480" w:firstLineChars="200"/>
        <w:jc w:val="both"/>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（二）各考区考务负责人</w:t>
      </w:r>
    </w:p>
    <w:p w14:paraId="43EE3A0B">
      <w:pPr>
        <w:pStyle w:val="2"/>
        <w:widowControl/>
        <w:shd w:val="clear" w:color="auto" w:fill="FFFFFF"/>
        <w:spacing w:beforeAutospacing="0" w:afterAutospacing="0" w:line="440" w:lineRule="exact"/>
        <w:ind w:firstLine="480" w:firstLineChars="200"/>
        <w:jc w:val="both"/>
        <w:textAlignment w:val="baseline"/>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育才校区考务负责人：梁  鑫</w:t>
      </w:r>
    </w:p>
    <w:p w14:paraId="783E4F08">
      <w:pPr>
        <w:pStyle w:val="2"/>
        <w:widowControl/>
        <w:shd w:val="clear" w:color="auto" w:fill="FFFFFF"/>
        <w:spacing w:beforeAutospacing="0" w:afterAutospacing="0" w:line="440" w:lineRule="exact"/>
        <w:ind w:firstLine="480" w:firstLineChars="200"/>
        <w:jc w:val="both"/>
        <w:textAlignment w:val="baseline"/>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雁山校区考务负责人：蒲智勇  邓金凤</w:t>
      </w:r>
    </w:p>
    <w:p w14:paraId="650EDA8E">
      <w:pPr>
        <w:pStyle w:val="2"/>
        <w:widowControl/>
        <w:shd w:val="clear" w:color="auto" w:fill="FFFFFF"/>
        <w:spacing w:beforeAutospacing="0" w:afterAutospacing="0" w:line="440" w:lineRule="exact"/>
        <w:ind w:firstLine="482" w:firstLineChars="200"/>
        <w:jc w:val="both"/>
        <w:textAlignment w:val="baseline"/>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三、</w:t>
      </w:r>
      <w:r>
        <w:rPr>
          <w:rFonts w:hint="eastAsia" w:asciiTheme="minorEastAsia" w:hAnsiTheme="minorEastAsia" w:eastAsiaTheme="minorEastAsia" w:cstheme="minorEastAsia"/>
          <w:b/>
          <w:bCs/>
          <w:sz w:val="24"/>
          <w:szCs w:val="24"/>
          <w:lang w:val="en-US" w:eastAsia="zh-CN"/>
        </w:rPr>
        <w:t>工作职责及要求</w:t>
      </w:r>
    </w:p>
    <w:p w14:paraId="29B43166">
      <w:pPr>
        <w:pStyle w:val="2"/>
        <w:widowControl/>
        <w:shd w:val="clear" w:color="auto" w:fill="FFFFFF"/>
        <w:spacing w:beforeAutospacing="0" w:afterAutospacing="0" w:line="440" w:lineRule="exact"/>
        <w:ind w:firstLine="480" w:firstLineChars="200"/>
        <w:jc w:val="both"/>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（一）</w:t>
      </w:r>
      <w:r>
        <w:rPr>
          <w:rFonts w:hint="eastAsia" w:asciiTheme="minorEastAsia" w:hAnsiTheme="minorEastAsia" w:eastAsiaTheme="minorEastAsia" w:cstheme="minorEastAsia"/>
          <w:sz w:val="24"/>
          <w:szCs w:val="24"/>
          <w:lang w:val="en-US" w:eastAsia="zh-CN"/>
        </w:rPr>
        <w:t>考点领导小组在自治区招生考试院的领导下，负责组织实施、管理本考点的全国中小学教师资格考试笔试工作，确保考试各项工作有序、规范进行，并对考试组织过程中的重大问题进行研究和决策。</w:t>
      </w:r>
    </w:p>
    <w:p w14:paraId="1E8C6866">
      <w:pPr>
        <w:pStyle w:val="2"/>
        <w:widowControl/>
        <w:shd w:val="clear" w:color="auto" w:fill="FFFFFF"/>
        <w:spacing w:beforeAutospacing="0" w:afterAutospacing="0" w:line="440" w:lineRule="exact"/>
        <w:ind w:firstLine="480" w:firstLineChars="200"/>
        <w:jc w:val="both"/>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（二）</w:t>
      </w:r>
      <w:r>
        <w:rPr>
          <w:rFonts w:hint="eastAsia" w:asciiTheme="minorEastAsia" w:hAnsiTheme="minorEastAsia" w:eastAsiaTheme="minorEastAsia" w:cstheme="minorEastAsia"/>
          <w:sz w:val="24"/>
          <w:szCs w:val="24"/>
          <w:lang w:val="en-US" w:eastAsia="zh-CN"/>
        </w:rPr>
        <w:t>考务办公室根据有关考试政策规定和要求，负责考试用品的准备，考场编排，监考员的选聘、培训和工作安排，试卷的接送、保管、发放等事宜。</w:t>
      </w:r>
    </w:p>
    <w:p w14:paraId="40DE81F8">
      <w:pPr>
        <w:pStyle w:val="2"/>
        <w:widowControl/>
        <w:shd w:val="clear" w:color="auto" w:fill="FFFFFF"/>
        <w:spacing w:beforeAutospacing="0" w:afterAutospacing="0" w:line="440" w:lineRule="exact"/>
        <w:ind w:firstLine="480" w:firstLineChars="200"/>
        <w:jc w:val="both"/>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（三）</w:t>
      </w:r>
      <w:r>
        <w:rPr>
          <w:rFonts w:hint="eastAsia" w:asciiTheme="minorEastAsia" w:hAnsiTheme="minorEastAsia" w:eastAsiaTheme="minorEastAsia" w:cstheme="minorEastAsia"/>
          <w:sz w:val="24"/>
          <w:szCs w:val="24"/>
          <w:lang w:val="en-US" w:eastAsia="zh-CN"/>
        </w:rPr>
        <w:t>各考区考务负责人根据有关考试政策规定和要求，负责本考区试卷的安全保密工作和考试情况</w:t>
      </w:r>
      <w:r>
        <w:rPr>
          <w:rFonts w:hint="eastAsia" w:asciiTheme="minorEastAsia" w:hAnsiTheme="minorEastAsia" w:cstheme="minorEastAsia"/>
          <w:sz w:val="24"/>
          <w:szCs w:val="24"/>
          <w:lang w:val="en-US" w:eastAsia="zh-CN"/>
        </w:rPr>
        <w:t>上</w:t>
      </w:r>
      <w:r>
        <w:rPr>
          <w:rFonts w:hint="eastAsia" w:asciiTheme="minorEastAsia" w:hAnsiTheme="minorEastAsia" w:eastAsiaTheme="minorEastAsia" w:cstheme="minorEastAsia"/>
          <w:sz w:val="24"/>
          <w:szCs w:val="24"/>
          <w:lang w:val="en-US" w:eastAsia="zh-CN"/>
        </w:rPr>
        <w:t>报工作，及时处理本考区发生的突发事件。</w:t>
      </w:r>
    </w:p>
    <w:p w14:paraId="1070FC97">
      <w:pPr>
        <w:pStyle w:val="2"/>
        <w:widowControl/>
        <w:shd w:val="clear" w:color="auto" w:fill="FFFFFF"/>
        <w:spacing w:beforeAutospacing="0" w:afterAutospacing="0" w:line="440" w:lineRule="exact"/>
        <w:ind w:firstLine="482" w:firstLineChars="200"/>
        <w:jc w:val="both"/>
        <w:textAlignment w:val="baseline"/>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cstheme="minorEastAsia"/>
          <w:b/>
          <w:bCs/>
          <w:sz w:val="24"/>
          <w:szCs w:val="24"/>
          <w:lang w:val="en-US" w:eastAsia="zh-CN"/>
        </w:rPr>
        <w:t>四、</w:t>
      </w:r>
      <w:r>
        <w:rPr>
          <w:rFonts w:hint="eastAsia" w:asciiTheme="minorEastAsia" w:hAnsiTheme="minorEastAsia" w:eastAsiaTheme="minorEastAsia" w:cstheme="minorEastAsia"/>
          <w:b/>
          <w:bCs/>
          <w:sz w:val="24"/>
          <w:szCs w:val="24"/>
          <w:lang w:val="en-US" w:eastAsia="zh-CN"/>
        </w:rPr>
        <w:t>其他事项</w:t>
      </w:r>
    </w:p>
    <w:p w14:paraId="4E98055A">
      <w:pPr>
        <w:pStyle w:val="2"/>
        <w:widowControl/>
        <w:shd w:val="clear" w:color="auto" w:fill="FFFFFF"/>
        <w:spacing w:beforeAutospacing="0" w:afterAutospacing="0" w:line="440" w:lineRule="exact"/>
        <w:ind w:firstLine="480" w:firstLineChars="200"/>
        <w:jc w:val="both"/>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（一）</w:t>
      </w:r>
      <w:r>
        <w:rPr>
          <w:rFonts w:hint="eastAsia" w:asciiTheme="minorEastAsia" w:hAnsiTheme="minorEastAsia" w:eastAsiaTheme="minorEastAsia" w:cstheme="minorEastAsia"/>
          <w:sz w:val="24"/>
          <w:szCs w:val="24"/>
          <w:lang w:val="en-US" w:eastAsia="zh-CN"/>
        </w:rPr>
        <w:t>各学院（部）、各单位要高度重视全国中小学教师资格考试笔试，将工作各项任务进行细化，</w:t>
      </w:r>
      <w:r>
        <w:rPr>
          <w:rFonts w:hint="eastAsia" w:asciiTheme="minorEastAsia" w:hAnsiTheme="minorEastAsia" w:cstheme="minorEastAsia"/>
          <w:sz w:val="24"/>
          <w:szCs w:val="24"/>
          <w:lang w:val="en-US" w:eastAsia="zh-CN"/>
        </w:rPr>
        <w:t>精心</w:t>
      </w:r>
      <w:r>
        <w:rPr>
          <w:rFonts w:hint="eastAsia" w:asciiTheme="minorEastAsia" w:hAnsiTheme="minorEastAsia" w:eastAsiaTheme="minorEastAsia" w:cstheme="minorEastAsia"/>
          <w:sz w:val="24"/>
          <w:szCs w:val="24"/>
          <w:lang w:val="en-US" w:eastAsia="zh-CN"/>
        </w:rPr>
        <w:t>安排、协调配合、互相支持，确保圆满完成相关考务工作任务。</w:t>
      </w:r>
    </w:p>
    <w:p w14:paraId="5C088E49">
      <w:pPr>
        <w:pStyle w:val="2"/>
        <w:widowControl/>
        <w:shd w:val="clear" w:color="auto" w:fill="FFFFFF"/>
        <w:spacing w:beforeAutospacing="0" w:afterAutospacing="0" w:line="440" w:lineRule="exact"/>
        <w:ind w:firstLine="480" w:firstLineChars="200"/>
        <w:jc w:val="both"/>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（二）</w:t>
      </w:r>
      <w:r>
        <w:rPr>
          <w:rFonts w:hint="eastAsia" w:asciiTheme="minorEastAsia" w:hAnsiTheme="minorEastAsia" w:eastAsiaTheme="minorEastAsia" w:cstheme="minorEastAsia"/>
          <w:sz w:val="24"/>
          <w:szCs w:val="24"/>
          <w:lang w:val="en-US" w:eastAsia="zh-CN"/>
        </w:rPr>
        <w:t>考试期间，各学院（部）、各单位不得于考试期间在考场周围组织影响考试顺利进行的各类活动。</w:t>
      </w:r>
    </w:p>
    <w:p w14:paraId="03B90D91">
      <w:pPr>
        <w:pStyle w:val="2"/>
        <w:widowControl/>
        <w:shd w:val="clear" w:color="auto" w:fill="FFFFFF"/>
        <w:spacing w:beforeAutospacing="0" w:afterAutospacing="0" w:line="440" w:lineRule="exact"/>
        <w:ind w:firstLine="480" w:firstLineChars="200"/>
        <w:jc w:val="both"/>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（三）</w:t>
      </w:r>
      <w:r>
        <w:rPr>
          <w:rFonts w:hint="eastAsia" w:asciiTheme="minorEastAsia" w:hAnsiTheme="minorEastAsia" w:eastAsiaTheme="minorEastAsia" w:cstheme="minorEastAsia"/>
          <w:sz w:val="24"/>
          <w:szCs w:val="24"/>
          <w:lang w:val="en-US" w:eastAsia="zh-CN"/>
        </w:rPr>
        <w:t>领导小组及下设个工作组在完成本次考试工作后自行撤销。</w:t>
      </w:r>
    </w:p>
    <w:p w14:paraId="48414DB5">
      <w:pPr>
        <w:pStyle w:val="2"/>
        <w:widowControl/>
        <w:shd w:val="clear" w:color="auto" w:fill="FFFFFF"/>
        <w:spacing w:beforeAutospacing="0" w:afterAutospacing="0" w:line="440" w:lineRule="exact"/>
        <w:ind w:firstLine="480" w:firstLineChars="200"/>
        <w:jc w:val="both"/>
        <w:textAlignment w:val="baseline"/>
        <w:rPr>
          <w:rFonts w:hint="eastAsia" w:asciiTheme="minorEastAsia" w:hAnsiTheme="minorEastAsia" w:cstheme="minorEastAsia"/>
          <w:sz w:val="24"/>
          <w:szCs w:val="24"/>
          <w:lang w:val="en-US" w:eastAsia="zh-CN"/>
        </w:rPr>
      </w:pPr>
    </w:p>
    <w:p w14:paraId="0975752C">
      <w:pPr>
        <w:pStyle w:val="2"/>
        <w:widowControl/>
        <w:shd w:val="clear" w:color="auto" w:fill="FFFFFF"/>
        <w:spacing w:beforeAutospacing="0" w:afterAutospacing="0" w:line="440" w:lineRule="exact"/>
        <w:ind w:firstLine="480" w:firstLineChars="200"/>
        <w:jc w:val="both"/>
        <w:textAlignment w:val="baseline"/>
        <w:rPr>
          <w:rFonts w:hint="eastAsia" w:asciiTheme="minorEastAsia" w:hAnsiTheme="minorEastAsia" w:cstheme="minorEastAsia"/>
          <w:sz w:val="24"/>
          <w:szCs w:val="24"/>
          <w:lang w:val="en-US" w:eastAsia="zh-CN"/>
        </w:rPr>
      </w:pPr>
    </w:p>
    <w:p w14:paraId="72B3D29C">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right"/>
        <w:textAlignment w:val="auto"/>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教务处/教师教学发展中心</w:t>
      </w:r>
    </w:p>
    <w:p w14:paraId="6EAC5DC6">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 xml:space="preserve">                                               2026年2</w:t>
      </w:r>
      <w:r>
        <w:rPr>
          <w:rFonts w:hint="eastAsia" w:asciiTheme="minorEastAsia" w:hAnsiTheme="minorEastAsia" w:eastAsiaTheme="minorEastAsia" w:cstheme="minorEastAsia"/>
          <w:sz w:val="24"/>
          <w:szCs w:val="24"/>
          <w:lang w:val="en-US" w:eastAsia="zh-CN"/>
        </w:rPr>
        <w:t>月</w:t>
      </w:r>
      <w:r>
        <w:rPr>
          <w:rFonts w:hint="eastAsia" w:asciiTheme="minorEastAsia" w:hAnsiTheme="minorEastAsia" w:cstheme="minorEastAsia"/>
          <w:sz w:val="24"/>
          <w:szCs w:val="24"/>
          <w:lang w:val="en-US" w:eastAsia="zh-CN"/>
        </w:rPr>
        <w:t>27</w:t>
      </w:r>
      <w:r>
        <w:rPr>
          <w:rFonts w:hint="eastAsia" w:asciiTheme="minorEastAsia" w:hAnsiTheme="minorEastAsia" w:eastAsiaTheme="minorEastAsia" w:cstheme="minorEastAsia"/>
          <w:sz w:val="24"/>
          <w:szCs w:val="24"/>
          <w:lang w:val="en-US" w:eastAsia="zh-CN"/>
        </w:rPr>
        <w:t>日</w:t>
      </w:r>
    </w:p>
    <w:p w14:paraId="414941A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kYzYwZWI0YzRmNzQyNjUxMjM2ZDY5MDAxY2NhMmIifQ=="/>
  </w:docVars>
  <w:rsids>
    <w:rsidRoot w:val="529249B5"/>
    <w:rsid w:val="02E828A9"/>
    <w:rsid w:val="0DB8276D"/>
    <w:rsid w:val="12FD2578"/>
    <w:rsid w:val="13534520"/>
    <w:rsid w:val="1E6E5F01"/>
    <w:rsid w:val="30894E1C"/>
    <w:rsid w:val="38AF194E"/>
    <w:rsid w:val="38B44595"/>
    <w:rsid w:val="3BA40D5C"/>
    <w:rsid w:val="50E84B00"/>
    <w:rsid w:val="529249B5"/>
    <w:rsid w:val="63D731CD"/>
    <w:rsid w:val="6F7E20E6"/>
    <w:rsid w:val="74E9353B"/>
    <w:rsid w:val="7F441C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927</Words>
  <Characters>1017</Characters>
  <Lines>0</Lines>
  <Paragraphs>0</Paragraphs>
  <TotalTime>0</TotalTime>
  <ScaleCrop>false</ScaleCrop>
  <LinksUpToDate>false</LinksUpToDate>
  <CharactersWithSpaces>1099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2025-02-25T07:23:00Z</dcterms:created>
  <dc:creator>梦想</dc:creator>
  <cp:lastModifiedBy>670</cp:lastModifiedBy>
  <dcterms:modified xsi:type="dcterms:W3CDTF">2026-03-02T07:09:41Z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A21BA5825EB1451CACF2CFCB6DF1814C_11</vt:lpwstr>
  </property>
  <property fmtid="{D5CDD505-2E9C-101B-9397-08002B2CF9AE}" pid="4" name="KSOTemplateDocerSaveRecord">
    <vt:lpwstr>eyJoZGlkIjoiYmVmZTkwNjczMjVhNDAyMGE2YWM2ODRlYWMxMjMzNDUiLCJ1c2VySWQiOiIxNDI3OTUyODE1In0=</vt:lpwstr>
  </property>
</Properties>
</file>