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0CB389">
      <w:pPr>
        <w:rPr>
          <w:b/>
          <w:sz w:val="52"/>
          <w:szCs w:val="40"/>
        </w:rPr>
      </w:pPr>
      <w:bookmarkStart w:id="0" w:name="_Toc259006550"/>
      <w:bookmarkStart w:id="1" w:name="_Toc259008944"/>
      <w:bookmarkStart w:id="2" w:name="_Toc263860671"/>
      <w:bookmarkStart w:id="3" w:name="_Toc259009640"/>
      <w:r>
        <w:rPr>
          <w:rFonts w:hint="eastAsia"/>
        </w:rPr>
        <w:drawing>
          <wp:inline distT="0" distB="0" distL="114300" distR="114300">
            <wp:extent cx="5259070" cy="960120"/>
            <wp:effectExtent l="0" t="0" r="8890" b="635"/>
            <wp:docPr id="44" name="图片 53" descr="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3" descr="logo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CB99C">
      <w:pPr>
        <w:rPr>
          <w:rFonts w:eastAsia="宋体"/>
          <w:b/>
          <w:sz w:val="52"/>
          <w:szCs w:val="52"/>
        </w:rPr>
      </w:pPr>
    </w:p>
    <w:p w14:paraId="77AA8A95">
      <w:pPr>
        <w:jc w:val="center"/>
        <w:rPr>
          <w:b/>
          <w:sz w:val="52"/>
          <w:szCs w:val="52"/>
        </w:rPr>
      </w:pPr>
    </w:p>
    <w:p w14:paraId="0865B4D0">
      <w:pPr>
        <w:jc w:val="center"/>
        <w:rPr>
          <w:b/>
          <w:sz w:val="52"/>
          <w:szCs w:val="52"/>
        </w:rPr>
      </w:pPr>
    </w:p>
    <w:p w14:paraId="40C37D77">
      <w:pPr>
        <w:jc w:val="center"/>
        <w:rPr>
          <w:rFonts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z w:val="52"/>
          <w:szCs w:val="52"/>
        </w:rPr>
        <w:t>教务教学一体化综合管理服务平台</w:t>
      </w:r>
    </w:p>
    <w:p w14:paraId="49859FC6">
      <w:pPr>
        <w:jc w:val="center"/>
        <w:rPr>
          <w:rFonts w:ascii="黑体" w:hAnsi="黑体" w:eastAsia="黑体" w:cs="黑体"/>
          <w:sz w:val="52"/>
          <w:szCs w:val="52"/>
        </w:rPr>
      </w:pPr>
    </w:p>
    <w:bookmarkEnd w:id="0"/>
    <w:bookmarkEnd w:id="1"/>
    <w:bookmarkEnd w:id="2"/>
    <w:bookmarkEnd w:id="3"/>
    <w:p w14:paraId="2E6E5DB8">
      <w:pPr>
        <w:jc w:val="center"/>
        <w:rPr>
          <w:rFonts w:ascii="黑体" w:hAnsi="黑体" w:eastAsia="黑体" w:cs="黑体"/>
          <w:sz w:val="48"/>
          <w:szCs w:val="48"/>
        </w:rPr>
      </w:pPr>
      <w:r>
        <w:rPr>
          <w:rFonts w:hint="eastAsia" w:ascii="黑体" w:hAnsi="黑体" w:eastAsia="黑体" w:cs="黑体"/>
          <w:sz w:val="48"/>
          <w:szCs w:val="48"/>
        </w:rPr>
        <w:t>教务系统操作指南</w:t>
      </w:r>
    </w:p>
    <w:p w14:paraId="5931CDD7">
      <w:pPr>
        <w:jc w:val="center"/>
        <w:rPr>
          <w:rFonts w:ascii="黑体" w:hAnsi="黑体" w:eastAsia="黑体" w:cs="黑体"/>
          <w:sz w:val="44"/>
          <w:szCs w:val="52"/>
        </w:rPr>
      </w:pPr>
    </w:p>
    <w:p w14:paraId="4A84543F">
      <w:pPr>
        <w:jc w:val="center"/>
        <w:rPr>
          <w:rFonts w:ascii="黑体" w:hAnsi="黑体" w:eastAsia="黑体" w:cs="黑体"/>
          <w:sz w:val="44"/>
          <w:szCs w:val="52"/>
        </w:rPr>
      </w:pPr>
      <w:r>
        <w:rPr>
          <w:rFonts w:hint="eastAsia" w:ascii="黑体" w:hAnsi="黑体" w:eastAsia="黑体" w:cs="黑体"/>
          <w:sz w:val="44"/>
          <w:szCs w:val="52"/>
        </w:rPr>
        <w:t>（选课部分）</w:t>
      </w:r>
    </w:p>
    <w:p w14:paraId="7D2A2F9F">
      <w:pPr>
        <w:jc w:val="center"/>
        <w:rPr>
          <w:rFonts w:ascii="黑体" w:hAnsi="黑体" w:eastAsia="黑体" w:cs="黑体"/>
          <w:sz w:val="52"/>
          <w:szCs w:val="52"/>
        </w:rPr>
      </w:pPr>
    </w:p>
    <w:p w14:paraId="7CF3420C">
      <w:pPr>
        <w:rPr>
          <w:rFonts w:ascii="黑体" w:hAnsi="黑体" w:eastAsia="黑体" w:cs="黑体"/>
          <w:sz w:val="52"/>
          <w:szCs w:val="52"/>
        </w:rPr>
      </w:pPr>
    </w:p>
    <w:p w14:paraId="20D21791">
      <w:pPr>
        <w:pageBreakBefore/>
        <w:jc w:val="center"/>
        <w:rPr>
          <w:rFonts w:ascii="宋体" w:hAnsi="宋体" w:eastAsia="宋体"/>
        </w:rPr>
        <w:sectPr>
          <w:pgSz w:w="11906" w:h="16838"/>
          <w:pgMar w:top="1440" w:right="1800" w:bottom="1440" w:left="1800" w:header="851" w:footer="992" w:gutter="0"/>
          <w:pgNumType w:start="1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/>
        </w:rPr>
        <w:id w:val="147465329"/>
        <w15:color w:val="DBDBDB"/>
        <w:docPartObj>
          <w:docPartGallery w:val="Table of Contents"/>
          <w:docPartUnique/>
        </w:docPartObj>
      </w:sdtPr>
      <w:sdtEndPr>
        <w:rPr>
          <w:rFonts w:hint="eastAsia" w:ascii="黑体" w:hAnsi="黑体" w:eastAsia="黑体" w:cs="黑体"/>
          <w:bCs/>
          <w:szCs w:val="40"/>
        </w:rPr>
      </w:sdtEndPr>
      <w:sdtContent>
        <w:sdt>
          <w:sdtPr>
            <w:rPr>
              <w:rFonts w:ascii="宋体" w:hAnsi="宋体" w:eastAsia="宋体"/>
              <w:b/>
              <w:bCs/>
              <w:sz w:val="32"/>
              <w:szCs w:val="32"/>
            </w:rPr>
            <w:id w:val="147465356"/>
            <w15:color w:val="DBDBDB"/>
            <w:docPartObj>
              <w:docPartGallery w:val="Table of Contents"/>
              <w:docPartUnique/>
            </w:docPartObj>
          </w:sdtPr>
          <w:sdtEndPr>
            <w:rPr>
              <w:rFonts w:hint="eastAsia" w:eastAsia="宋体" w:asciiTheme="minorHAnsi" w:hAnsiTheme="minorHAnsi"/>
              <w:b/>
              <w:bCs/>
              <w:sz w:val="21"/>
              <w:szCs w:val="22"/>
            </w:rPr>
          </w:sdtEndPr>
          <w:sdtContent>
            <w:sdt>
              <w:sdtPr>
                <w:rPr>
                  <w:rFonts w:ascii="宋体" w:hAnsi="宋体" w:eastAsia="宋体"/>
                  <w:b/>
                  <w:bCs/>
                  <w:sz w:val="32"/>
                  <w:szCs w:val="32"/>
                </w:rPr>
                <w:id w:val="147461694"/>
                <w15:color w:val="DBDBDB"/>
                <w:docPartObj>
                  <w:docPartGallery w:val="Table of Contents"/>
                  <w:docPartUnique/>
                </w:docPartObj>
              </w:sdtPr>
              <w:sdtEndPr>
                <w:rPr>
                  <w:rFonts w:hint="eastAsia" w:eastAsia="宋体" w:asciiTheme="minorHAnsi" w:hAnsiTheme="minorHAnsi"/>
                  <w:b/>
                  <w:bCs/>
                  <w:sz w:val="21"/>
                  <w:szCs w:val="22"/>
                </w:rPr>
              </w:sdtEndPr>
              <w:sdtContent>
                <w:p w14:paraId="321EF461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宋体" w:hAnsi="宋体" w:eastAsia="宋体"/>
                      <w:b/>
                      <w:bCs/>
                      <w:sz w:val="32"/>
                      <w:szCs w:val="32"/>
                    </w:rPr>
                    <w:t>目录</w:t>
                  </w:r>
                </w:p>
                <w:p w14:paraId="4099AFBF">
                  <w:pPr>
                    <w:pStyle w:val="14"/>
                    <w:tabs>
                      <w:tab w:val="right" w:leader="dot" w:pos="8306"/>
                    </w:tabs>
                  </w:pPr>
                  <w:r>
                    <w:rPr>
                      <w:rFonts w:hint="eastAsia"/>
                    </w:rPr>
                    <w:fldChar w:fldCharType="begin"/>
                  </w:r>
                  <w:r>
                    <w:rPr>
                      <w:rFonts w:hint="eastAsia"/>
                    </w:rPr>
                    <w:instrText xml:space="preserve">TOC \o "1-3" \h \u </w:instrText>
                  </w:r>
                  <w:r>
                    <w:rPr>
                      <w:rFonts w:hint="eastAsia"/>
                    </w:rPr>
                    <w:fldChar w:fldCharType="separate"/>
                  </w:r>
                  <w:r>
                    <w:fldChar w:fldCharType="begin"/>
                  </w:r>
                  <w:r>
                    <w:instrText xml:space="preserve"> HYPERLINK \l "_Toc20827"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1. </w:t>
                  </w:r>
                  <w:r>
                    <w:rPr>
                      <w:rFonts w:hint="eastAsia" w:ascii="黑体" w:hAnsi="黑体" w:eastAsia="黑体" w:cs="黑体"/>
                    </w:rPr>
                    <w:t>登录操作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_Toc20827 \h </w:instrText>
                  </w:r>
                  <w:r>
                    <w:fldChar w:fldCharType="separate"/>
                  </w:r>
                  <w:r>
                    <w:t>2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3C4BCC31">
                  <w:pPr>
                    <w:pStyle w:val="14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"_Toc13788"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  <w:szCs w:val="44"/>
                    </w:rPr>
                    <w:t xml:space="preserve">2. </w:t>
                  </w:r>
                  <w:r>
                    <w:rPr>
                      <w:rFonts w:hint="eastAsia" w:ascii="黑体" w:hAnsi="黑体" w:eastAsia="黑体" w:cs="黑体"/>
                      <w:szCs w:val="44"/>
                    </w:rPr>
                    <w:t>选课操作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_Toc13788 \h </w:instrText>
                  </w:r>
                  <w:r>
                    <w:fldChar w:fldCharType="separate"/>
                  </w:r>
                  <w:r>
                    <w:t>3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50EF8505">
                  <w:pPr>
                    <w:pStyle w:val="15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"_Toc10150"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  <w:bCs w:val="0"/>
                    </w:rPr>
                    <w:t xml:space="preserve">2.1. </w:t>
                  </w:r>
                  <w:r>
                    <w:rPr>
                      <w:rFonts w:hint="eastAsia" w:ascii="黑体" w:hAnsi="黑体" w:eastAsia="黑体" w:cs="黑体"/>
                      <w:bCs w:val="0"/>
                    </w:rPr>
                    <w:t>PC端选课操作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_Toc10150 \h </w:instrText>
                  </w:r>
                  <w:r>
                    <w:fldChar w:fldCharType="separate"/>
                  </w:r>
                  <w:r>
                    <w:t>3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27EF0CD5">
                  <w:pPr>
                    <w:pStyle w:val="15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"_Toc16018"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2.2. </w:t>
                  </w:r>
                  <w:r>
                    <w:rPr>
                      <w:rFonts w:hint="eastAsia" w:ascii="黑体" w:hAnsi="黑体" w:eastAsia="黑体" w:cs="黑体"/>
                    </w:rPr>
                    <w:t>企业微信选课操作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_Toc16018 \h </w:instrText>
                  </w:r>
                  <w:r>
                    <w:fldChar w:fldCharType="separate"/>
                  </w:r>
                  <w:r>
                    <w:t>4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499B11C9">
                  <w:pPr>
                    <w:pStyle w:val="15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"_Toc5730"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2.3. </w:t>
                  </w:r>
                  <w:r>
                    <w:rPr>
                      <w:rFonts w:hint="eastAsia" w:ascii="黑体" w:hAnsi="黑体" w:eastAsia="黑体" w:cs="黑体"/>
                    </w:rPr>
                    <w:t>选课日志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_Toc5730 \h </w:instrText>
                  </w:r>
                  <w:r>
                    <w:fldChar w:fldCharType="separate"/>
                  </w:r>
                  <w:r>
                    <w:t>7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412D6D53">
                  <w:pPr>
                    <w:pStyle w:val="15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"_Toc21737"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2.4. </w:t>
                  </w:r>
                  <w:r>
                    <w:rPr>
                      <w:rFonts w:hint="eastAsia" w:ascii="黑体" w:hAnsi="黑体" w:eastAsia="黑体" w:cs="黑体"/>
                    </w:rPr>
                    <w:t>已选课程查询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_Toc21737 \h </w:instrText>
                  </w:r>
                  <w:r>
                    <w:fldChar w:fldCharType="separate"/>
                  </w:r>
                  <w:r>
                    <w:t>7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42DFB2D3">
                  <w:pPr>
                    <w:pStyle w:val="14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"_Toc13408"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3. </w:t>
                  </w:r>
                  <w:r>
                    <w:rPr>
                      <w:rFonts w:hint="eastAsia" w:ascii="黑体" w:hAnsi="黑体" w:eastAsia="黑体" w:cs="黑体"/>
                    </w:rPr>
                    <w:t>选课申请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_Toc13408 \h </w:instrText>
                  </w:r>
                  <w:r>
                    <w:fldChar w:fldCharType="separate"/>
                  </w:r>
                  <w:r>
                    <w:t>7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78230662">
                  <w:pPr>
                    <w:pStyle w:val="14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"_Toc15879"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4. </w:t>
                  </w:r>
                  <w:r>
                    <w:rPr>
                      <w:rFonts w:hint="eastAsia" w:ascii="黑体" w:hAnsi="黑体" w:eastAsia="黑体" w:cs="黑体"/>
                    </w:rPr>
                    <w:t>免听申请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_Toc15879 \h </w:instrText>
                  </w:r>
                  <w:r>
                    <w:fldChar w:fldCharType="separate"/>
                  </w:r>
                  <w:r>
                    <w:t>8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546DCABB">
                  <w:pPr>
                    <w:pStyle w:val="14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"_Toc32098"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5. </w:t>
                  </w:r>
                  <w:r>
                    <w:rPr>
                      <w:rFonts w:hint="eastAsia" w:ascii="黑体" w:hAnsi="黑体" w:eastAsia="黑体" w:cs="黑体"/>
                    </w:rPr>
                    <w:t>免修申请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_Toc32098 \h </w:instrText>
                  </w:r>
                  <w:r>
                    <w:fldChar w:fldCharType="separate"/>
                  </w:r>
                  <w:r>
                    <w:t>8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7D755AEE">
                  <w:pPr>
                    <w:pStyle w:val="14"/>
                    <w:tabs>
                      <w:tab w:val="right" w:leader="dot" w:pos="8306"/>
                    </w:tabs>
                  </w:pPr>
                  <w:r>
                    <w:fldChar w:fldCharType="begin"/>
                  </w:r>
                  <w:r>
                    <w:instrText xml:space="preserve"> HYPERLINK \l "_Toc27917" </w:instrText>
                  </w:r>
                  <w:r>
                    <w:fldChar w:fldCharType="separate"/>
                  </w:r>
                  <w:r>
                    <w:rPr>
                      <w:rFonts w:ascii="黑体" w:hAnsi="黑体" w:eastAsia="黑体" w:cs="黑体"/>
                    </w:rPr>
                    <w:t xml:space="preserve">6. </w:t>
                  </w:r>
                  <w:r>
                    <w:rPr>
                      <w:rFonts w:hint="eastAsia" w:ascii="黑体" w:hAnsi="黑体" w:eastAsia="黑体" w:cs="黑体"/>
                    </w:rPr>
                    <w:t>问题反馈</w:t>
                  </w:r>
                  <w:r>
                    <w:tab/>
                  </w:r>
                  <w:r>
                    <w:fldChar w:fldCharType="begin"/>
                  </w:r>
                  <w:r>
                    <w:instrText xml:space="preserve"> PAGEREF _Toc27917 \h </w:instrText>
                  </w:r>
                  <w:r>
                    <w:fldChar w:fldCharType="separate"/>
                  </w:r>
                  <w:r>
                    <w:t>9</w:t>
                  </w:r>
                  <w:r>
                    <w:fldChar w:fldCharType="end"/>
                  </w:r>
                  <w:r>
                    <w:fldChar w:fldCharType="end"/>
                  </w:r>
                </w:p>
                <w:p w14:paraId="118FBE9F">
                  <w:pPr>
                    <w:jc w:val="center"/>
                    <w:rPr>
                      <w:rFonts w:ascii="黑体" w:hAnsi="黑体" w:eastAsia="黑体" w:cs="黑体"/>
                      <w:bCs/>
                      <w:szCs w:val="40"/>
                    </w:rPr>
                  </w:pPr>
                  <w:r>
                    <w:rPr>
                      <w:rFonts w:hint="eastAsia"/>
                    </w:rPr>
                    <w:fldChar w:fldCharType="end"/>
                  </w:r>
                </w:p>
              </w:sdtContent>
            </w:sdt>
          </w:sdtContent>
        </w:sdt>
      </w:sdtContent>
    </w:sdt>
    <w:p w14:paraId="0ABEAFAF">
      <w:pPr>
        <w:jc w:val="center"/>
        <w:rPr>
          <w:rFonts w:ascii="黑体" w:hAnsi="黑体" w:eastAsia="黑体" w:cs="黑体"/>
          <w:bCs/>
          <w:szCs w:val="40"/>
        </w:rPr>
      </w:pPr>
    </w:p>
    <w:p w14:paraId="5EA6769D">
      <w:pPr>
        <w:jc w:val="center"/>
        <w:rPr>
          <w:rFonts w:ascii="黑体" w:hAnsi="黑体" w:eastAsia="黑体" w:cs="黑体"/>
          <w:bCs/>
          <w:szCs w:val="40"/>
        </w:rPr>
      </w:pPr>
    </w:p>
    <w:p w14:paraId="7E862C85">
      <w:pPr>
        <w:jc w:val="center"/>
        <w:rPr>
          <w:rFonts w:ascii="黑体" w:hAnsi="黑体" w:eastAsia="黑体" w:cs="黑体"/>
          <w:bCs/>
          <w:szCs w:val="40"/>
        </w:rPr>
      </w:pPr>
    </w:p>
    <w:p w14:paraId="69A36861">
      <w:pPr>
        <w:jc w:val="center"/>
        <w:rPr>
          <w:rFonts w:ascii="黑体" w:hAnsi="黑体" w:eastAsia="黑体" w:cs="黑体"/>
          <w:bCs/>
          <w:szCs w:val="40"/>
        </w:rPr>
      </w:pPr>
    </w:p>
    <w:p w14:paraId="45A5D709">
      <w:pPr>
        <w:jc w:val="center"/>
        <w:rPr>
          <w:rFonts w:ascii="黑体" w:hAnsi="黑体" w:eastAsia="黑体" w:cs="黑体"/>
          <w:bCs/>
          <w:szCs w:val="40"/>
        </w:rPr>
      </w:pPr>
    </w:p>
    <w:p w14:paraId="61D82671">
      <w:pPr>
        <w:jc w:val="center"/>
        <w:rPr>
          <w:rFonts w:ascii="黑体" w:hAnsi="黑体" w:eastAsia="黑体" w:cs="黑体"/>
          <w:bCs/>
          <w:szCs w:val="40"/>
        </w:rPr>
      </w:pPr>
    </w:p>
    <w:p w14:paraId="10912BDA">
      <w:pPr>
        <w:jc w:val="center"/>
        <w:rPr>
          <w:rFonts w:ascii="黑体" w:hAnsi="黑体" w:eastAsia="黑体" w:cs="黑体"/>
          <w:bCs/>
          <w:szCs w:val="40"/>
        </w:rPr>
      </w:pPr>
    </w:p>
    <w:p w14:paraId="3A3B1969">
      <w:pPr>
        <w:jc w:val="center"/>
        <w:rPr>
          <w:rFonts w:ascii="黑体" w:hAnsi="黑体" w:eastAsia="黑体" w:cs="黑体"/>
          <w:bCs/>
          <w:szCs w:val="40"/>
        </w:rPr>
      </w:pPr>
    </w:p>
    <w:p w14:paraId="0448A155">
      <w:pPr>
        <w:jc w:val="center"/>
        <w:rPr>
          <w:rFonts w:ascii="黑体" w:hAnsi="黑体" w:eastAsia="黑体" w:cs="黑体"/>
          <w:bCs/>
          <w:szCs w:val="40"/>
        </w:rPr>
      </w:pPr>
    </w:p>
    <w:p w14:paraId="14F2BD60">
      <w:pPr>
        <w:jc w:val="center"/>
        <w:rPr>
          <w:rFonts w:ascii="黑体" w:hAnsi="黑体" w:eastAsia="黑体" w:cs="黑体"/>
          <w:bCs/>
          <w:szCs w:val="40"/>
        </w:rPr>
      </w:pPr>
    </w:p>
    <w:p w14:paraId="40BE7651">
      <w:pPr>
        <w:jc w:val="center"/>
        <w:rPr>
          <w:rFonts w:ascii="黑体" w:hAnsi="黑体" w:eastAsia="黑体" w:cs="黑体"/>
          <w:bCs/>
          <w:szCs w:val="40"/>
        </w:rPr>
      </w:pPr>
    </w:p>
    <w:p w14:paraId="53BBA4AB">
      <w:pPr>
        <w:jc w:val="center"/>
        <w:rPr>
          <w:rFonts w:ascii="黑体" w:hAnsi="黑体" w:eastAsia="黑体" w:cs="黑体"/>
          <w:bCs/>
          <w:szCs w:val="40"/>
        </w:rPr>
      </w:pPr>
    </w:p>
    <w:p w14:paraId="26D9633D">
      <w:pPr>
        <w:jc w:val="center"/>
        <w:rPr>
          <w:rFonts w:ascii="黑体" w:hAnsi="黑体" w:eastAsia="黑体" w:cs="黑体"/>
          <w:bCs/>
          <w:szCs w:val="40"/>
        </w:rPr>
      </w:pPr>
    </w:p>
    <w:p w14:paraId="74800939">
      <w:pPr>
        <w:jc w:val="center"/>
        <w:rPr>
          <w:rFonts w:ascii="黑体" w:hAnsi="黑体" w:eastAsia="黑体" w:cs="黑体"/>
          <w:bCs/>
          <w:szCs w:val="40"/>
        </w:rPr>
      </w:pPr>
    </w:p>
    <w:p w14:paraId="0AC69852">
      <w:pPr>
        <w:jc w:val="center"/>
        <w:rPr>
          <w:rFonts w:ascii="黑体" w:hAnsi="黑体" w:eastAsia="黑体" w:cs="黑体"/>
          <w:bCs/>
          <w:szCs w:val="40"/>
        </w:rPr>
      </w:pPr>
    </w:p>
    <w:p w14:paraId="3E670EE1">
      <w:pPr>
        <w:jc w:val="center"/>
        <w:rPr>
          <w:rFonts w:ascii="黑体" w:hAnsi="黑体" w:eastAsia="黑体" w:cs="黑体"/>
          <w:bCs/>
          <w:szCs w:val="40"/>
        </w:rPr>
      </w:pPr>
    </w:p>
    <w:p w14:paraId="384D39AB">
      <w:pPr>
        <w:jc w:val="center"/>
        <w:rPr>
          <w:rFonts w:ascii="黑体" w:hAnsi="黑体" w:eastAsia="黑体" w:cs="黑体"/>
          <w:bCs/>
          <w:szCs w:val="40"/>
        </w:rPr>
      </w:pPr>
    </w:p>
    <w:p w14:paraId="4C5B01C0">
      <w:pPr>
        <w:jc w:val="center"/>
        <w:rPr>
          <w:rFonts w:ascii="黑体" w:hAnsi="黑体" w:eastAsia="黑体" w:cs="黑体"/>
          <w:bCs/>
          <w:szCs w:val="40"/>
        </w:rPr>
      </w:pPr>
    </w:p>
    <w:p w14:paraId="33133990">
      <w:pPr>
        <w:jc w:val="center"/>
        <w:rPr>
          <w:rFonts w:ascii="黑体" w:hAnsi="黑体" w:eastAsia="黑体" w:cs="黑体"/>
          <w:bCs/>
          <w:szCs w:val="40"/>
        </w:rPr>
      </w:pPr>
    </w:p>
    <w:p w14:paraId="4523AFE7">
      <w:pPr>
        <w:jc w:val="center"/>
        <w:rPr>
          <w:rFonts w:ascii="黑体" w:hAnsi="黑体" w:eastAsia="黑体" w:cs="黑体"/>
          <w:bCs/>
          <w:szCs w:val="40"/>
        </w:rPr>
      </w:pPr>
    </w:p>
    <w:p w14:paraId="00E40A23">
      <w:pPr>
        <w:jc w:val="center"/>
        <w:rPr>
          <w:rFonts w:ascii="黑体" w:hAnsi="黑体" w:eastAsia="黑体" w:cs="黑体"/>
          <w:bCs/>
          <w:szCs w:val="40"/>
        </w:rPr>
      </w:pPr>
    </w:p>
    <w:p w14:paraId="62B20785">
      <w:pPr>
        <w:jc w:val="center"/>
        <w:rPr>
          <w:rFonts w:ascii="黑体" w:hAnsi="黑体" w:eastAsia="黑体" w:cs="黑体"/>
          <w:bCs/>
          <w:szCs w:val="40"/>
        </w:rPr>
      </w:pPr>
    </w:p>
    <w:p w14:paraId="4A3B0ADD">
      <w:pPr>
        <w:jc w:val="center"/>
        <w:rPr>
          <w:rFonts w:ascii="黑体" w:hAnsi="黑体" w:eastAsia="黑体" w:cs="黑体"/>
          <w:bCs/>
          <w:szCs w:val="40"/>
        </w:rPr>
      </w:pPr>
    </w:p>
    <w:p w14:paraId="72D9C046">
      <w:pPr>
        <w:jc w:val="center"/>
        <w:rPr>
          <w:rFonts w:ascii="黑体" w:hAnsi="黑体" w:eastAsia="黑体" w:cs="黑体"/>
          <w:bCs/>
          <w:szCs w:val="40"/>
        </w:rPr>
      </w:pPr>
    </w:p>
    <w:p w14:paraId="71386EFF">
      <w:pPr>
        <w:jc w:val="center"/>
        <w:rPr>
          <w:rFonts w:ascii="黑体" w:hAnsi="黑体" w:eastAsia="黑体" w:cs="黑体"/>
          <w:bCs/>
          <w:szCs w:val="40"/>
        </w:rPr>
      </w:pPr>
    </w:p>
    <w:p w14:paraId="1F04958C">
      <w:pPr>
        <w:jc w:val="center"/>
        <w:rPr>
          <w:rFonts w:ascii="黑体" w:hAnsi="黑体" w:eastAsia="黑体" w:cs="黑体"/>
          <w:bCs/>
          <w:szCs w:val="40"/>
        </w:rPr>
      </w:pPr>
    </w:p>
    <w:p w14:paraId="0EFDB89E">
      <w:pPr>
        <w:jc w:val="center"/>
        <w:rPr>
          <w:rFonts w:ascii="黑体" w:hAnsi="黑体" w:eastAsia="黑体" w:cs="黑体"/>
          <w:bCs/>
          <w:szCs w:val="40"/>
        </w:rPr>
      </w:pPr>
    </w:p>
    <w:p w14:paraId="644A930E">
      <w:pPr>
        <w:jc w:val="center"/>
        <w:rPr>
          <w:rFonts w:ascii="黑体" w:hAnsi="黑体" w:eastAsia="黑体" w:cs="黑体"/>
          <w:bCs/>
          <w:szCs w:val="40"/>
        </w:rPr>
      </w:pPr>
    </w:p>
    <w:p w14:paraId="75ED1F43">
      <w:pPr>
        <w:rPr>
          <w:rFonts w:ascii="黑体" w:hAnsi="黑体" w:eastAsia="黑体" w:cs="黑体"/>
          <w:bCs/>
          <w:szCs w:val="40"/>
        </w:rPr>
      </w:pPr>
    </w:p>
    <w:p w14:paraId="74ED87F8">
      <w:pPr>
        <w:pStyle w:val="2"/>
      </w:pPr>
      <w:bookmarkStart w:id="4" w:name="_Toc20827"/>
      <w:bookmarkStart w:id="5" w:name="_Toc13447"/>
      <w:bookmarkStart w:id="6" w:name="_Toc26359"/>
      <w:bookmarkStart w:id="7" w:name="_Toc29845"/>
      <w:r>
        <w:rPr>
          <w:rFonts w:hint="eastAsia"/>
        </w:rPr>
        <w:t>登录操作</w:t>
      </w:r>
      <w:bookmarkEnd w:id="4"/>
      <w:bookmarkEnd w:id="5"/>
      <w:bookmarkEnd w:id="6"/>
      <w:bookmarkEnd w:id="7"/>
    </w:p>
    <w:p w14:paraId="378602E2">
      <w:pPr>
        <w:pStyle w:val="16"/>
        <w:keepNext w:val="0"/>
        <w:keepLines w:val="0"/>
        <w:widowControl/>
        <w:suppressLineNumbers w:val="0"/>
        <w:spacing w:before="0" w:beforeAutospacing="0" w:after="0" w:afterAutospacing="0" w:line="23" w:lineRule="atLeast"/>
        <w:ind w:left="0" w:right="0" w:firstLine="420"/>
        <w:jc w:val="both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在浏览器打开网址：</w:t>
      </w:r>
      <w:r>
        <w:rPr>
          <w:rFonts w:hint="eastAsia" w:ascii="宋体" w:hAnsi="宋体" w:eastAsia="宋体" w:cs="宋体"/>
          <w:b w:val="0"/>
          <w:bCs w:val="0"/>
          <w:i w:val="0"/>
          <w:iCs w:val="0"/>
          <w:color w:val="000000"/>
          <w:spacing w:val="0"/>
          <w:w w:val="100"/>
          <w:sz w:val="24"/>
          <w:szCs w:val="24"/>
          <w:vertAlign w:val="baseline"/>
        </w:rPr>
        <w:t>https://jwjx.gxnu.edu.cn/jw</w:t>
      </w:r>
      <w:bookmarkStart w:id="23" w:name="_GoBack"/>
      <w:bookmarkEnd w:id="23"/>
      <w:r>
        <w:rPr>
          <w:rFonts w:hint="eastAsia" w:asciiTheme="minorEastAsia" w:hAnsiTheme="minorEastAsia" w:cstheme="minorEastAsia"/>
        </w:rPr>
        <w:t>，通过统一身份认证账号登录，进入广西师范大学教务教学一体化平台，在顶部业务系统选择“教务系统”进入系统。</w:t>
      </w:r>
    </w:p>
    <w:p w14:paraId="6B2F0CE5">
      <w:pPr>
        <w:ind w:firstLine="420"/>
      </w:pPr>
      <w:r>
        <w:drawing>
          <wp:inline distT="0" distB="0" distL="0" distR="0">
            <wp:extent cx="5274310" cy="3124200"/>
            <wp:effectExtent l="0" t="0" r="4445" b="6350"/>
            <wp:docPr id="14638748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87483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C306A">
      <w:pPr>
        <w:ind w:firstLine="420"/>
      </w:pPr>
      <w:r>
        <w:drawing>
          <wp:inline distT="0" distB="0" distL="0" distR="0">
            <wp:extent cx="5274310" cy="2120900"/>
            <wp:effectExtent l="0" t="0" r="4445" b="5715"/>
            <wp:docPr id="21057962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79625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2A84E">
      <w:pPr>
        <w:ind w:firstLine="420"/>
      </w:pPr>
    </w:p>
    <w:p w14:paraId="588796D4">
      <w:pPr>
        <w:spacing w:line="360" w:lineRule="auto"/>
        <w:ind w:firstLine="420" w:firstLineChars="200"/>
      </w:pPr>
    </w:p>
    <w:p w14:paraId="53E183F9">
      <w:pPr>
        <w:ind w:firstLine="420"/>
      </w:pPr>
    </w:p>
    <w:p w14:paraId="09810CB4">
      <w:pPr>
        <w:pStyle w:val="2"/>
        <w:ind w:left="0" w:firstLine="0"/>
      </w:pPr>
      <w:bookmarkStart w:id="8" w:name="_Toc8546"/>
      <w:bookmarkStart w:id="9" w:name="_Toc29750"/>
      <w:bookmarkStart w:id="10" w:name="_Toc13788"/>
      <w:r>
        <w:rPr>
          <w:rFonts w:hint="eastAsia"/>
        </w:rPr>
        <w:t>选课操作</w:t>
      </w:r>
      <w:bookmarkEnd w:id="8"/>
      <w:bookmarkEnd w:id="9"/>
      <w:bookmarkEnd w:id="10"/>
    </w:p>
    <w:p w14:paraId="64077708">
      <w:pPr>
        <w:pStyle w:val="3"/>
        <w:rPr>
          <w:rFonts w:ascii="黑体" w:hAnsi="黑体" w:cs="黑体"/>
        </w:rPr>
      </w:pPr>
      <w:bookmarkStart w:id="11" w:name="_Toc10150"/>
      <w:bookmarkStart w:id="12" w:name="_Toc19648"/>
      <w:r>
        <w:rPr>
          <w:rFonts w:hint="eastAsia" w:ascii="黑体" w:hAnsi="黑体" w:cs="黑体"/>
        </w:rPr>
        <w:t>PC端选课操作</w:t>
      </w:r>
      <w:bookmarkEnd w:id="11"/>
      <w:bookmarkEnd w:id="12"/>
    </w:p>
    <w:p w14:paraId="134E143B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①、登录教务系统后点击“去选课”。</w:t>
      </w:r>
    </w:p>
    <w:p w14:paraId="28F3B54D">
      <w:r>
        <w:drawing>
          <wp:inline distT="0" distB="0" distL="114300" distR="114300">
            <wp:extent cx="5258435" cy="2917190"/>
            <wp:effectExtent l="0" t="0" r="12065" b="3810"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F2D35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②、进入到选课界面，点击“选课”。</w:t>
      </w:r>
    </w:p>
    <w:p w14:paraId="40FC5509">
      <w:r>
        <w:drawing>
          <wp:inline distT="0" distB="0" distL="114300" distR="114300">
            <wp:extent cx="5266690" cy="2069465"/>
            <wp:effectExtent l="0" t="0" r="381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t="7941" b="77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D7DF1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③、显示选课任务从“未选”变成“已选”表示选课成功</w:t>
      </w:r>
    </w:p>
    <w:p w14:paraId="25D3B6A7">
      <w:r>
        <w:drawing>
          <wp:inline distT="0" distB="0" distL="114300" distR="114300">
            <wp:extent cx="5266690" cy="140843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rcRect t="7243" b="353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01B2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④、如果需要更换选课或者退课，可以点击“退课”，后出现退课弹窗提示，点击“确认”即可完成退课操作，然后可以重新选择课程。</w:t>
      </w:r>
    </w:p>
    <w:p w14:paraId="1F95B739">
      <w:r>
        <w:drawing>
          <wp:inline distT="0" distB="0" distL="114300" distR="114300">
            <wp:extent cx="5266690" cy="149606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rcRect t="7915" b="311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C7F10">
      <w:r>
        <w:drawing>
          <wp:inline distT="0" distB="0" distL="114300" distR="114300">
            <wp:extent cx="5266690" cy="2277110"/>
            <wp:effectExtent l="0" t="0" r="635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rcRect t="72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120D1"/>
    <w:p w14:paraId="7C60F13D"/>
    <w:p w14:paraId="55F8D51C"/>
    <w:p w14:paraId="3E87F2A3"/>
    <w:p w14:paraId="29949A8A"/>
    <w:p w14:paraId="4BFC5704"/>
    <w:p w14:paraId="71A0C1D0"/>
    <w:p w14:paraId="6CEA84B2"/>
    <w:p w14:paraId="71F89B22"/>
    <w:p w14:paraId="4C6E801A"/>
    <w:p w14:paraId="2E499B10"/>
    <w:p w14:paraId="0ED2E144"/>
    <w:p w14:paraId="01D5BF80"/>
    <w:p w14:paraId="1C2099DA"/>
    <w:p w14:paraId="0D11EA27"/>
    <w:p w14:paraId="10925D13"/>
    <w:p w14:paraId="04D5F7F8">
      <w:pPr>
        <w:rPr>
          <w:rFonts w:hint="eastAsia"/>
        </w:rPr>
      </w:pPr>
    </w:p>
    <w:p w14:paraId="210B2B98">
      <w:pPr>
        <w:pStyle w:val="3"/>
        <w:rPr>
          <w:rFonts w:ascii="黑体" w:hAnsi="黑体" w:cs="黑体"/>
        </w:rPr>
      </w:pPr>
      <w:bookmarkStart w:id="13" w:name="_Toc16018"/>
      <w:bookmarkStart w:id="14" w:name="_Toc8798"/>
      <w:r>
        <w:rPr>
          <w:rFonts w:hint="eastAsia" w:ascii="黑体" w:hAnsi="黑体" w:cs="黑体"/>
        </w:rPr>
        <w:t>企业微信选课操作</w:t>
      </w:r>
      <w:bookmarkEnd w:id="13"/>
      <w:bookmarkEnd w:id="14"/>
    </w:p>
    <w:p w14:paraId="75896ADF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①、进入企业微信，点击工作台，找到“教务教学一体化”应用，点击进入即可。</w:t>
      </w:r>
    </w:p>
    <w:p w14:paraId="7288CBFA">
      <w:pPr>
        <w:jc w:val="center"/>
      </w:pPr>
      <w:r>
        <w:drawing>
          <wp:inline distT="0" distB="0" distL="114300" distR="114300">
            <wp:extent cx="1974850" cy="3449955"/>
            <wp:effectExtent l="0" t="0" r="6350" b="0"/>
            <wp:docPr id="10" name="图片 10" descr="1717589758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1758975844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90827" cy="3477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12975" cy="3446145"/>
            <wp:effectExtent l="0" t="0" r="0" b="1905"/>
            <wp:docPr id="11" name="图片 11" descr="1717589835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175898359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25166" cy="346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E4DB2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②、点击“学生选课”应用，进入选课界面，在列表中标识有“（已满）”的教学班为当前批次人数已经达到选课上限，未有该标识的是可以选择的教学班。</w:t>
      </w:r>
    </w:p>
    <w:p w14:paraId="5D87BBC5">
      <w:pPr>
        <w:jc w:val="center"/>
      </w:pPr>
      <w:r>
        <w:drawing>
          <wp:inline distT="0" distB="0" distL="114300" distR="114300">
            <wp:extent cx="2016125" cy="3649980"/>
            <wp:effectExtent l="0" t="0" r="3175" b="762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21717" cy="3660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67230" cy="3655060"/>
            <wp:effectExtent l="0" t="0" r="0" b="254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70484" cy="3661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45C28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③、点击进行对应的课程即可查看详情信息，点击下方“选课”即可完成选课操作。</w:t>
      </w:r>
    </w:p>
    <w:p w14:paraId="55217A42">
      <w:pPr>
        <w:jc w:val="center"/>
      </w:pPr>
      <w:r>
        <w:drawing>
          <wp:inline distT="0" distB="0" distL="114300" distR="114300">
            <wp:extent cx="1957070" cy="4034790"/>
            <wp:effectExtent l="0" t="0" r="8890" b="381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7070" cy="40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36750" cy="4041775"/>
            <wp:effectExtent l="0" t="0" r="13970" b="1206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404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162ED">
      <w:pPr>
        <w:pStyle w:val="3"/>
        <w:rPr>
          <w:rFonts w:ascii="黑体" w:hAnsi="黑体" w:cs="黑体"/>
        </w:rPr>
      </w:pPr>
      <w:bookmarkStart w:id="15" w:name="_Toc5730"/>
      <w:r>
        <w:rPr>
          <w:rFonts w:hint="eastAsia" w:ascii="黑体" w:hAnsi="黑体" w:cs="黑体"/>
        </w:rPr>
        <w:t>选课日志</w:t>
      </w:r>
      <w:bookmarkEnd w:id="15"/>
    </w:p>
    <w:p w14:paraId="6D2F2A40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这里可以查看自己的选课操作记录。</w:t>
      </w:r>
    </w:p>
    <w:p w14:paraId="4D11600C">
      <w:pPr>
        <w:spacing w:line="360" w:lineRule="auto"/>
        <w:ind w:firstLine="420" w:firstLineChars="200"/>
      </w:pPr>
      <w:r>
        <w:drawing>
          <wp:inline distT="0" distB="0" distL="114300" distR="114300">
            <wp:extent cx="5264785" cy="2289810"/>
            <wp:effectExtent l="0" t="0" r="3175" b="9525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7C301">
      <w:pPr>
        <w:spacing w:line="360" w:lineRule="auto"/>
        <w:ind w:firstLine="420" w:firstLineChars="200"/>
        <w:rPr>
          <w:rFonts w:hint="eastAsia"/>
        </w:rPr>
      </w:pPr>
    </w:p>
    <w:p w14:paraId="2BBDA022">
      <w:pPr>
        <w:pStyle w:val="3"/>
        <w:rPr>
          <w:rFonts w:ascii="黑体" w:hAnsi="黑体" w:cs="黑体"/>
        </w:rPr>
      </w:pPr>
      <w:bookmarkStart w:id="16" w:name="_Toc21737"/>
      <w:r>
        <w:rPr>
          <w:rFonts w:hint="eastAsia" w:ascii="黑体" w:hAnsi="黑体" w:cs="黑体"/>
        </w:rPr>
        <w:t>已选课程查询</w:t>
      </w:r>
      <w:bookmarkEnd w:id="16"/>
    </w:p>
    <w:p w14:paraId="38618EFC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这里可以查看已选的课程信息。</w:t>
      </w:r>
    </w:p>
    <w:p w14:paraId="46942390">
      <w:pPr>
        <w:spacing w:line="360" w:lineRule="auto"/>
        <w:ind w:firstLine="420" w:firstLineChars="200"/>
        <w:rPr>
          <w:rFonts w:asciiTheme="minorEastAsia" w:hAnsiTheme="minorEastAsia" w:cstheme="minorEastAsia"/>
        </w:rPr>
      </w:pPr>
      <w:r>
        <w:drawing>
          <wp:inline distT="0" distB="0" distL="114300" distR="114300">
            <wp:extent cx="5264785" cy="2203450"/>
            <wp:effectExtent l="0" t="0" r="3175" b="9525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7268F">
      <w:pPr>
        <w:pStyle w:val="2"/>
      </w:pPr>
      <w:bookmarkStart w:id="17" w:name="_Toc18745"/>
      <w:bookmarkStart w:id="18" w:name="_Toc19552"/>
      <w:bookmarkStart w:id="19" w:name="_Toc13408"/>
      <w:r>
        <w:rPr>
          <w:rFonts w:hint="eastAsia"/>
        </w:rPr>
        <w:t>选课申请</w:t>
      </w:r>
      <w:bookmarkEnd w:id="17"/>
      <w:bookmarkEnd w:id="18"/>
      <w:bookmarkEnd w:id="19"/>
    </w:p>
    <w:p w14:paraId="3993AE86">
      <w:pPr>
        <w:numPr>
          <w:ilvl w:val="0"/>
          <w:numId w:val="2"/>
        </w:numPr>
        <w:spacing w:line="360" w:lineRule="auto"/>
        <w:ind w:firstLine="420" w:firstLineChars="200"/>
        <w:rPr>
          <w:rFonts w:hint="eastAsia"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登录教务系统后点击“</w:t>
      </w:r>
      <w:r>
        <w:rPr>
          <w:rFonts w:hint="eastAsia" w:asciiTheme="minorEastAsia" w:hAnsiTheme="minorEastAsia" w:cstheme="minorEastAsia"/>
          <w:lang w:val="en-US" w:eastAsia="zh-CN"/>
        </w:rPr>
        <w:t>进首页</w:t>
      </w:r>
      <w:r>
        <w:rPr>
          <w:rFonts w:hint="eastAsia" w:asciiTheme="minorEastAsia" w:hAnsiTheme="minorEastAsia" w:cstheme="minorEastAsia"/>
        </w:rPr>
        <w:t>”。</w:t>
      </w:r>
    </w:p>
    <w:p w14:paraId="6EAA28D0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70500" cy="3919855"/>
            <wp:effectExtent l="0" t="0" r="635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74E3">
      <w:pPr>
        <w:numPr>
          <w:ilvl w:val="0"/>
          <w:numId w:val="0"/>
        </w:numPr>
        <w:spacing w:line="360" w:lineRule="auto"/>
      </w:pPr>
    </w:p>
    <w:p w14:paraId="69FCC8EB">
      <w:pPr>
        <w:numPr>
          <w:ilvl w:val="0"/>
          <w:numId w:val="0"/>
        </w:numPr>
        <w:spacing w:line="360" w:lineRule="auto"/>
        <w:rPr>
          <w:rFonts w:hint="eastAsia"/>
        </w:rPr>
      </w:pPr>
    </w:p>
    <w:p w14:paraId="1A2C925F">
      <w:pPr>
        <w:spacing w:line="360" w:lineRule="auto"/>
        <w:ind w:firstLine="420" w:firstLineChars="200"/>
      </w:pPr>
      <w:r>
        <w:rPr>
          <w:rFonts w:hint="eastAsia" w:asciiTheme="minorEastAsia" w:hAnsiTheme="minorEastAsia" w:cstheme="minorEastAsia"/>
        </w:rPr>
        <w:t>②、这里可以进行选课申请和退课申请操作，也可以进行流程跟踪查看或者撤回申请。</w:t>
      </w:r>
    </w:p>
    <w:p w14:paraId="73C1A9A6">
      <w:pPr>
        <w:ind w:firstLine="420"/>
      </w:pPr>
    </w:p>
    <w:p w14:paraId="7B3BAB05">
      <w:r>
        <w:drawing>
          <wp:inline distT="0" distB="0" distL="114300" distR="114300">
            <wp:extent cx="5264785" cy="2674620"/>
            <wp:effectExtent l="0" t="0" r="5715" b="508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B691C"/>
    <w:p w14:paraId="0C6D2EB5"/>
    <w:p w14:paraId="0B20F61C">
      <w:pPr>
        <w:rPr>
          <w:rFonts w:hint="eastAsia"/>
        </w:rPr>
      </w:pPr>
    </w:p>
    <w:p w14:paraId="3F07C87A">
      <w:pPr>
        <w:pStyle w:val="2"/>
      </w:pPr>
      <w:bookmarkStart w:id="20" w:name="_Toc15879"/>
      <w:r>
        <w:rPr>
          <w:rFonts w:hint="eastAsia"/>
        </w:rPr>
        <w:t>免听申请</w:t>
      </w:r>
      <w:bookmarkEnd w:id="20"/>
    </w:p>
    <w:p w14:paraId="51FF2DB1"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登录教务系统后点击“</w:t>
      </w:r>
      <w:r>
        <w:rPr>
          <w:rFonts w:hint="eastAsia" w:asciiTheme="minorEastAsia" w:hAnsiTheme="minorEastAsia" w:cstheme="minorEastAsia"/>
          <w:lang w:val="en-US" w:eastAsia="zh-CN"/>
        </w:rPr>
        <w:t>进首页</w:t>
      </w:r>
      <w:r>
        <w:rPr>
          <w:rFonts w:hint="eastAsia" w:asciiTheme="minorEastAsia" w:hAnsiTheme="minorEastAsia" w:cstheme="minorEastAsia"/>
        </w:rPr>
        <w:t>”</w:t>
      </w:r>
      <w:r>
        <w:rPr>
          <w:rFonts w:hint="eastAsia" w:asciiTheme="minorEastAsia" w:hAnsiTheme="minorEastAsia" w:cstheme="minorEastAsia"/>
          <w:lang w:val="en-US" w:eastAsia="zh-CN"/>
        </w:rPr>
        <w:t>后选择</w:t>
      </w:r>
      <w:r>
        <w:rPr>
          <w:rFonts w:hint="eastAsia" w:asciiTheme="minorEastAsia" w:hAnsiTheme="minorEastAsia" w:cstheme="minorEastAsia"/>
        </w:rPr>
        <w:t>免听申请操作。</w:t>
      </w:r>
    </w:p>
    <w:p w14:paraId="195784A2">
      <w:r>
        <w:drawing>
          <wp:inline distT="0" distB="0" distL="114300" distR="114300">
            <wp:extent cx="5268595" cy="2461895"/>
            <wp:effectExtent l="0" t="0" r="1905" b="190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F356E"/>
    <w:p w14:paraId="7538C1F2">
      <w:pPr>
        <w:pStyle w:val="2"/>
      </w:pPr>
      <w:bookmarkStart w:id="21" w:name="_Toc32098"/>
      <w:r>
        <w:rPr>
          <w:rFonts w:hint="eastAsia"/>
        </w:rPr>
        <w:t>免修申请</w:t>
      </w:r>
      <w:bookmarkEnd w:id="21"/>
    </w:p>
    <w:p w14:paraId="6690E2F9"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登录教务系统后点击“</w:t>
      </w:r>
      <w:r>
        <w:rPr>
          <w:rFonts w:hint="eastAsia" w:asciiTheme="minorEastAsia" w:hAnsiTheme="minorEastAsia" w:cstheme="minorEastAsia"/>
          <w:lang w:val="en-US" w:eastAsia="zh-CN"/>
        </w:rPr>
        <w:t>进首页</w:t>
      </w:r>
      <w:r>
        <w:rPr>
          <w:rFonts w:hint="eastAsia" w:asciiTheme="minorEastAsia" w:hAnsiTheme="minorEastAsia" w:cstheme="minorEastAsia"/>
        </w:rPr>
        <w:t>”</w:t>
      </w:r>
      <w:r>
        <w:rPr>
          <w:rFonts w:hint="eastAsia" w:asciiTheme="minorEastAsia" w:hAnsiTheme="minorEastAsia" w:cstheme="minorEastAsia"/>
          <w:lang w:val="en-US" w:eastAsia="zh-CN"/>
        </w:rPr>
        <w:t>后选择</w:t>
      </w:r>
      <w:r>
        <w:rPr>
          <w:rFonts w:hint="eastAsia" w:asciiTheme="minorEastAsia" w:hAnsiTheme="minorEastAsia" w:cstheme="minorEastAsia"/>
        </w:rPr>
        <w:t>免修申请操作。</w:t>
      </w:r>
    </w:p>
    <w:p w14:paraId="23D7B838">
      <w:pPr>
        <w:rPr>
          <w:rFonts w:asciiTheme="minorEastAsia" w:hAnsiTheme="minorEastAsia" w:cstheme="minorEastAsia"/>
        </w:rPr>
      </w:pPr>
      <w:r>
        <w:drawing>
          <wp:inline distT="0" distB="0" distL="114300" distR="114300">
            <wp:extent cx="5260340" cy="2308225"/>
            <wp:effectExtent l="0" t="0" r="10160" b="317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CB1F5"/>
    <w:p w14:paraId="5DA0A8D6"/>
    <w:p w14:paraId="7464147A"/>
    <w:p w14:paraId="08055E83"/>
    <w:p w14:paraId="5B8EA929">
      <w:pPr>
        <w:rPr>
          <w:rFonts w:hint="eastAsia"/>
        </w:rPr>
      </w:pPr>
    </w:p>
    <w:p w14:paraId="015A7AE6">
      <w:pPr>
        <w:pStyle w:val="2"/>
      </w:pPr>
      <w:bookmarkStart w:id="22" w:name="_Toc27917"/>
      <w:r>
        <w:rPr>
          <w:rFonts w:hint="eastAsia"/>
        </w:rPr>
        <w:t>问题反馈</w:t>
      </w:r>
      <w:bookmarkEnd w:id="22"/>
    </w:p>
    <w:p w14:paraId="4C11ECB8">
      <w:pPr>
        <w:rPr>
          <w:rFonts w:asciiTheme="minorEastAsia" w:hAnsiTheme="minorEastAsia" w:cstheme="minorEastAsia"/>
        </w:rPr>
      </w:pPr>
      <w:r>
        <w:rPr>
          <w:rFonts w:hint="eastAsia" w:asciiTheme="minorEastAsia" w:hAnsiTheme="minorEastAsia" w:cstheme="minorEastAsia"/>
        </w:rPr>
        <w:t>系统使用过程中遇到的，可以在这里反馈。</w:t>
      </w:r>
    </w:p>
    <w:p w14:paraId="108B674C">
      <w:pPr>
        <w:rPr>
          <w:rFonts w:hint="eastAsia" w:asciiTheme="minorEastAsia" w:hAnsiTheme="minorEastAsia" w:cstheme="minorEastAsia"/>
        </w:rPr>
      </w:pPr>
      <w:r>
        <w:drawing>
          <wp:inline distT="0" distB="0" distL="114300" distR="114300">
            <wp:extent cx="5262880" cy="2868930"/>
            <wp:effectExtent l="0" t="0" r="7620" b="127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FEC9F7">
    <w:pPr>
      <w:pStyle w:val="12"/>
    </w:pPr>
  </w:p>
  <w:p w14:paraId="0D8D8FFF">
    <w:pPr>
      <w:pStyle w:val="12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7A16A80">
                          <w:pPr>
                            <w:pStyle w:val="1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rPr>
                              <w:rFonts w:hint="eastAsia"/>
                            </w:rPr>
                            <w:t>9</w:t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yr+j5S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7A16A80">
                    <w:pPr>
                      <w:pStyle w:val="1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rPr>
                        <w:rFonts w:hint="eastAsia"/>
                      </w:rPr>
                      <w:t>9</w:t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4D8D63">
    <w:pPr>
      <w:pStyle w:val="13"/>
      <w:spacing w:line="360" w:lineRule="auto"/>
      <w:ind w:firstLine="360" w:firstLineChars="200"/>
    </w:pPr>
    <w:r>
      <w:rPr>
        <w:rFonts w:hint="eastAsia"/>
      </w:rPr>
      <w:drawing>
        <wp:inline distT="0" distB="0" distL="114300" distR="114300">
          <wp:extent cx="985520" cy="179705"/>
          <wp:effectExtent l="0" t="0" r="7620" b="3810"/>
          <wp:docPr id="17" name="图片 54" descr="log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54" descr="logo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85520" cy="1797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      </w:t>
    </w:r>
    <w:r>
      <w:rPr>
        <w:rFonts w:hint="eastAsia" w:ascii="黑体" w:hAnsi="黑体" w:eastAsia="黑体" w:cs="黑体"/>
      </w:rPr>
      <w:t>教务系统操作指南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19222B"/>
    <w:multiLevelType w:val="multilevel"/>
    <w:tmpl w:val="8319222B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1">
    <w:nsid w:val="BD1051DF"/>
    <w:multiLevelType w:val="singleLevel"/>
    <w:tmpl w:val="BD1051DF"/>
    <w:lvl w:ilvl="0" w:tentative="0">
      <w:start w:val="1"/>
      <w:numFmt w:val="decimalEnclosedCircleChinese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BjNzdkY2E0ODFjNzU0NjcxZGZkMGMwYzgyZGU2Y2YifQ=="/>
  </w:docVars>
  <w:rsids>
    <w:rsidRoot w:val="00DC46E5"/>
    <w:rsid w:val="00557DCF"/>
    <w:rsid w:val="008F2579"/>
    <w:rsid w:val="00DC46E5"/>
    <w:rsid w:val="00EA119F"/>
    <w:rsid w:val="030B47EA"/>
    <w:rsid w:val="0FE13D6E"/>
    <w:rsid w:val="11620399"/>
    <w:rsid w:val="125833C2"/>
    <w:rsid w:val="172C2554"/>
    <w:rsid w:val="18BF7BD9"/>
    <w:rsid w:val="1B1953A4"/>
    <w:rsid w:val="1B630A7E"/>
    <w:rsid w:val="1B763FBE"/>
    <w:rsid w:val="266320C3"/>
    <w:rsid w:val="288420E2"/>
    <w:rsid w:val="299A5BF9"/>
    <w:rsid w:val="29A940EF"/>
    <w:rsid w:val="2CC41502"/>
    <w:rsid w:val="321234BB"/>
    <w:rsid w:val="340C1AC6"/>
    <w:rsid w:val="3A020BBB"/>
    <w:rsid w:val="3A555239"/>
    <w:rsid w:val="3ABC3C8C"/>
    <w:rsid w:val="3E8207C8"/>
    <w:rsid w:val="408C5F0C"/>
    <w:rsid w:val="448F6D7F"/>
    <w:rsid w:val="4582289D"/>
    <w:rsid w:val="47D2108D"/>
    <w:rsid w:val="49D97E23"/>
    <w:rsid w:val="4A2D621A"/>
    <w:rsid w:val="4BE20082"/>
    <w:rsid w:val="4CD24FEE"/>
    <w:rsid w:val="542E65DF"/>
    <w:rsid w:val="55230AEC"/>
    <w:rsid w:val="5A3A2B60"/>
    <w:rsid w:val="687410CD"/>
    <w:rsid w:val="6A1E1669"/>
    <w:rsid w:val="74881543"/>
    <w:rsid w:val="76940CB8"/>
    <w:rsid w:val="78D65439"/>
    <w:rsid w:val="7B40088B"/>
    <w:rsid w:val="7BAB37DC"/>
    <w:rsid w:val="7E1009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0"/>
    <w:pPr>
      <w:keepNext/>
      <w:keepLines/>
      <w:numPr>
        <w:ilvl w:val="0"/>
        <w:numId w:val="1"/>
      </w:numPr>
      <w:spacing w:before="340" w:after="340" w:line="360" w:lineRule="auto"/>
      <w:jc w:val="left"/>
      <w:outlineLvl w:val="0"/>
    </w:pPr>
    <w:rPr>
      <w:rFonts w:ascii="黑体" w:hAnsi="黑体" w:eastAsia="黑体" w:cs="黑体"/>
      <w:b/>
      <w:snapToGrid w:val="0"/>
      <w:kern w:val="32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spacing w:before="240" w:after="240" w:line="360" w:lineRule="auto"/>
      <w:outlineLvl w:val="2"/>
    </w:pPr>
    <w:rPr>
      <w:rFonts w:eastAsia="黑体" w:cs="Times New Roman"/>
      <w:b/>
      <w:bCs/>
      <w:sz w:val="30"/>
      <w:szCs w:val="32"/>
    </w:rPr>
  </w:style>
  <w:style w:type="paragraph" w:styleId="5">
    <w:name w:val="heading 4"/>
    <w:basedOn w:val="1"/>
    <w:next w:val="1"/>
    <w:autoRedefine/>
    <w:semiHidden/>
    <w:unhideWhenUsed/>
    <w:qFormat/>
    <w:uiPriority w:val="0"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autoRedefine/>
    <w:semiHidden/>
    <w:unhideWhenUsed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autoRedefine/>
    <w:semiHidden/>
    <w:unhideWhenUsed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autoRedefine/>
    <w:semiHidden/>
    <w:unhideWhenUsed/>
    <w:qFormat/>
    <w:uiPriority w:val="0"/>
    <w:pPr>
      <w:keepNext/>
      <w:keepLines/>
      <w:numPr>
        <w:ilvl w:val="6"/>
        <w:numId w:val="1"/>
      </w:numPr>
      <w:spacing w:before="240" w:after="64" w:line="317" w:lineRule="auto"/>
      <w:outlineLvl w:val="6"/>
    </w:pPr>
    <w:rPr>
      <w:b/>
      <w:sz w:val="24"/>
    </w:rPr>
  </w:style>
  <w:style w:type="paragraph" w:styleId="9">
    <w:name w:val="heading 8"/>
    <w:basedOn w:val="1"/>
    <w:next w:val="1"/>
    <w:autoRedefine/>
    <w:semiHidden/>
    <w:unhideWhenUsed/>
    <w:qFormat/>
    <w:uiPriority w:val="0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autoRedefine/>
    <w:semiHidden/>
    <w:unhideWhenUsed/>
    <w:qFormat/>
    <w:uiPriority w:val="0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</w:rPr>
  </w:style>
  <w:style w:type="character" w:default="1" w:styleId="18">
    <w:name w:val="Default Paragraph Font"/>
    <w:autoRedefine/>
    <w:semiHidden/>
    <w:unhideWhenUsed/>
    <w:qFormat/>
    <w:uiPriority w:val="1"/>
  </w:style>
  <w:style w:type="table" w:default="1" w:styleId="17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1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4">
    <w:name w:val="toc 1"/>
    <w:basedOn w:val="1"/>
    <w:next w:val="1"/>
    <w:autoRedefine/>
    <w:qFormat/>
    <w:uiPriority w:val="0"/>
  </w:style>
  <w:style w:type="paragraph" w:styleId="15">
    <w:name w:val="toc 2"/>
    <w:basedOn w:val="1"/>
    <w:next w:val="1"/>
    <w:autoRedefine/>
    <w:unhideWhenUsed/>
    <w:qFormat/>
    <w:uiPriority w:val="39"/>
    <w:pPr>
      <w:ind w:left="420" w:leftChars="200"/>
    </w:pPr>
    <w:rPr>
      <w:bCs/>
    </w:rPr>
  </w:style>
  <w:style w:type="paragraph" w:styleId="16">
    <w:name w:val="Normal (Web)"/>
    <w:basedOn w:val="1"/>
    <w:uiPriority w:val="0"/>
    <w:rPr>
      <w:sz w:val="24"/>
    </w:rPr>
  </w:style>
  <w:style w:type="character" w:styleId="19">
    <w:name w:val="Hyperlink"/>
    <w:basedOn w:val="18"/>
    <w:autoRedefine/>
    <w:qFormat/>
    <w:uiPriority w:val="0"/>
    <w:rPr>
      <w:color w:val="0000FF"/>
      <w:u w:val="single"/>
    </w:rPr>
  </w:style>
  <w:style w:type="character" w:customStyle="1" w:styleId="20">
    <w:name w:val="标题 1 字符"/>
    <w:link w:val="2"/>
    <w:autoRedefine/>
    <w:qFormat/>
    <w:uiPriority w:val="0"/>
    <w:rPr>
      <w:rFonts w:ascii="黑体" w:hAnsi="黑体" w:eastAsia="黑体" w:cs="黑体"/>
      <w:b/>
      <w:snapToGrid w:val="0"/>
      <w:kern w:val="32"/>
      <w:sz w:val="44"/>
      <w:szCs w:val="44"/>
      <w:lang w:val="en-US" w:eastAsia="zh-CN" w:bidi="ar-SA"/>
    </w:rPr>
  </w:style>
  <w:style w:type="paragraph" w:customStyle="1" w:styleId="21">
    <w:name w:val="WPSOffice手动目录 1"/>
    <w:autoRedefine/>
    <w:qFormat/>
    <w:uiPriority w:val="0"/>
    <w:rPr>
      <w:rFonts w:ascii="Times New Roman" w:hAnsi="Times New Roman" w:eastAsia="宋体" w:cs="Times New Roman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620</Words>
  <Characters>664</Characters>
  <Lines>9</Lines>
  <Paragraphs>2</Paragraphs>
  <TotalTime>3</TotalTime>
  <ScaleCrop>false</ScaleCrop>
  <LinksUpToDate>false</LinksUpToDate>
  <CharactersWithSpaces>704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2021-09-18T08:56:00Z</dcterms:created>
  <dc:creator>黄常杰</dc:creator>
  <cp:lastModifiedBy>妖妖狗</cp:lastModifiedBy>
  <dcterms:modified xsi:type="dcterms:W3CDTF">2026-06-16T09:31:57Z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178E46D6E2BE49DD978797D9F1107F5E_13</vt:lpwstr>
  </property>
  <property fmtid="{D5CDD505-2E9C-101B-9397-08002B2CF9AE}" pid="4" name="KSOTemplateDocerSaveRecord">
    <vt:lpwstr>eyJoZGlkIjoiZDBjNzdkY2E0ODFjNzU0NjcxZGZkMGMwYzgyZGU2Y2YiLCJ1c2VySWQiOiIxMzkxODQ1OTA1In0=</vt:lpwstr>
  </property>
</Properties>
</file>